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tbl>
            <w:tblPr>
              <w:tblW w:w="41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50" w:hRule="atLeast"/>
                <w:jc w:val="center"/>
              </w:trPr>
              <w:tc>
                <w:tcPr>
                  <w:tcW w:w="0" w:type="auto"/>
                  <w:shd w:val="clear"/>
                  <w:tcMar>
                    <w:top w:w="150" w:type="dxa"/>
                    <w:left w:w="300" w:type="dxa"/>
                    <w:bottom w:w="150" w:type="dxa"/>
                    <w:right w:w="300" w:type="dxa"/>
                  </w:tcMar>
                  <w:vAlign w:val="center"/>
                </w:tcPr>
                <w:p>
                  <w:pPr>
                    <w:keepNext w:val="0"/>
                    <w:keepLines w:val="0"/>
                    <w:widowControl/>
                    <w:suppressLineNumbers w:val="0"/>
                    <w:spacing w:line="315" w:lineRule="atLeast"/>
                    <w:jc w:val="center"/>
                    <w:rPr>
                      <w:rFonts w:hint="eastAsia" w:ascii="宋体" w:hAnsi="宋体" w:eastAsia="宋体" w:cs="宋体"/>
                      <w:b/>
                      <w:bCs/>
                      <w:color w:val="CC3300"/>
                      <w:sz w:val="30"/>
                      <w:szCs w:val="30"/>
                    </w:rPr>
                  </w:pPr>
                  <w:r>
                    <w:rPr>
                      <w:rFonts w:hint="eastAsia" w:ascii="宋体" w:hAnsi="宋体" w:eastAsia="宋体" w:cs="宋体"/>
                      <w:b/>
                      <w:bCs/>
                      <w:color w:val="CC3300"/>
                      <w:kern w:val="0"/>
                      <w:sz w:val="30"/>
                      <w:szCs w:val="30"/>
                      <w:bdr w:val="none" w:color="auto" w:sz="0" w:space="0"/>
                      <w:lang w:val="en-US" w:eastAsia="zh-CN" w:bidi="ar"/>
                    </w:rPr>
                    <w:t xml:space="preserve">安徽省教育厅、安徽省物价局、安徽省财政厅《关于进一步完善我省高校收费政策有关问题的通知》 </w:t>
                  </w:r>
                </w:p>
              </w:tc>
            </w:tr>
          </w:tbl>
          <w:p>
            <w:pPr>
              <w:rPr>
                <w:vanish/>
                <w:sz w:val="24"/>
                <w:szCs w:val="24"/>
              </w:rPr>
            </w:pPr>
          </w:p>
          <w:tbl>
            <w:tblPr>
              <w:tblW w:w="41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 w:hRule="atLeast"/>
                <w:jc w:val="center"/>
              </w:trPr>
              <w:tc>
                <w:tcPr>
                  <w:tcW w:w="0" w:type="auto"/>
                  <w:shd w:val="clear" w:color="auto" w:fill="50AA94"/>
                  <w:vAlign w:val="center"/>
                </w:tcPr>
                <w:p>
                  <w:pPr>
                    <w:jc w:val="center"/>
                    <w:rPr>
                      <w:rFonts w:hint="eastAsia" w:ascii="宋体"/>
                      <w:color w:val="262626"/>
                      <w:sz w:val="18"/>
                      <w:szCs w:val="18"/>
                    </w:rPr>
                  </w:pPr>
                </w:p>
              </w:tc>
            </w:tr>
          </w:tbl>
          <w:p>
            <w:pPr>
              <w:rPr>
                <w:vanish/>
                <w:sz w:val="24"/>
                <w:szCs w:val="24"/>
              </w:rPr>
            </w:pPr>
          </w:p>
          <w:tbl>
            <w:tblPr>
              <w:tblW w:w="41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jc w:val="center"/>
              </w:trPr>
              <w:tc>
                <w:tcPr>
                  <w:tcW w:w="0" w:type="auto"/>
                  <w:shd w:val="clear"/>
                  <w:vAlign w:val="center"/>
                </w:tcPr>
                <w:p>
                  <w:pPr>
                    <w:keepNext w:val="0"/>
                    <w:keepLines w:val="0"/>
                    <w:widowControl/>
                    <w:suppressLineNumbers w:val="0"/>
                    <w:jc w:val="center"/>
                    <w:rPr>
                      <w:color w:val="262626"/>
                      <w:sz w:val="18"/>
                      <w:szCs w:val="18"/>
                    </w:rPr>
                  </w:pPr>
                  <w:r>
                    <w:rPr>
                      <w:rStyle w:val="9"/>
                      <w:rFonts w:ascii="宋体" w:hAnsi="宋体" w:eastAsia="宋体" w:cs="宋体"/>
                      <w:sz w:val="18"/>
                      <w:szCs w:val="18"/>
                      <w:lang w:val="en-US" w:eastAsia="zh-CN" w:bidi="ar"/>
                    </w:rPr>
                    <w:t xml:space="preserve">发布时间： </w:t>
                  </w:r>
                  <w:r>
                    <w:rPr>
                      <w:rFonts w:ascii="宋体" w:hAnsi="宋体" w:eastAsia="宋体" w:cs="宋体"/>
                      <w:kern w:val="0"/>
                      <w:sz w:val="18"/>
                      <w:szCs w:val="18"/>
                      <w:lang w:val="en-US" w:eastAsia="zh-CN" w:bidi="ar"/>
                    </w:rPr>
                    <w:t>2024-07-19</w:t>
                  </w:r>
                  <w:r>
                    <w:rPr>
                      <w:rStyle w:val="9"/>
                      <w:rFonts w:ascii="宋体" w:hAnsi="宋体" w:eastAsia="宋体" w:cs="宋体"/>
                      <w:sz w:val="18"/>
                      <w:szCs w:val="18"/>
                      <w:lang w:val="en-US" w:eastAsia="zh-CN" w:bidi="ar"/>
                    </w:rPr>
                    <w:t xml:space="preserve"> 浏览次数： </w:t>
                  </w:r>
                  <w:r>
                    <w:rPr>
                      <w:rStyle w:val="10"/>
                      <w:rFonts w:ascii="宋体" w:hAnsi="宋体" w:eastAsia="宋体" w:cs="宋体"/>
                      <w:sz w:val="18"/>
                      <w:szCs w:val="18"/>
                      <w:lang w:val="en-US" w:eastAsia="zh-CN" w:bidi="ar"/>
                    </w:rPr>
                    <w:t>10</w:t>
                  </w:r>
                  <w:r>
                    <w:rPr>
                      <w:rStyle w:val="9"/>
                      <w:rFonts w:ascii="宋体" w:hAnsi="宋体" w:eastAsia="宋体" w:cs="宋体"/>
                      <w:sz w:val="18"/>
                      <w:szCs w:val="18"/>
                      <w:lang w:val="en-US" w:eastAsia="zh-CN" w:bidi="ar"/>
                    </w:rPr>
                    <w:t xml:space="preserve"> </w:t>
                  </w:r>
                </w:p>
              </w:tc>
            </w:tr>
          </w:tbl>
          <w:p>
            <w:pPr>
              <w:rPr>
                <w:vanish/>
                <w:sz w:val="24"/>
                <w:szCs w:val="24"/>
              </w:rPr>
            </w:pPr>
          </w:p>
          <w:tbl>
            <w:tblPr>
              <w:tblW w:w="41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jc w:val="center"/>
              </w:trPr>
              <w:tc>
                <w:tcPr>
                  <w:tcW w:w="0" w:type="auto"/>
                  <w:shd w:val="clear"/>
                  <w:vAlign w:val="center"/>
                </w:tcPr>
                <w:p>
                  <w:pPr>
                    <w:jc w:val="center"/>
                    <w:rPr>
                      <w:rFonts w:hint="eastAsia" w:ascii="宋体"/>
                      <w:color w:val="262626"/>
                      <w:sz w:val="18"/>
                      <w:szCs w:val="18"/>
                    </w:rPr>
                  </w:pPr>
                </w:p>
              </w:tc>
            </w:tr>
          </w:tbl>
          <w:p>
            <w:pPr>
              <w:jc w:val="center"/>
              <w:rPr>
                <w:color w:val="262626"/>
                <w:sz w:val="18"/>
                <w:szCs w:val="18"/>
              </w:rPr>
            </w:pPr>
          </w:p>
        </w:tc>
      </w:tr>
    </w:tbl>
    <w:p>
      <w:pPr>
        <w:rPr>
          <w:vanish/>
          <w:sz w:val="24"/>
          <w:szCs w:val="24"/>
        </w:rPr>
      </w:pPr>
    </w:p>
    <w:tbl>
      <w:tblPr>
        <w:tblW w:w="6131" w:type="pct"/>
        <w:tblInd w:w="-12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000" w:type="pct"/>
            <w:shd w:val="clear"/>
            <w:vAlign w:val="top"/>
          </w:tcPr>
          <w:tbl>
            <w:tblPr>
              <w:tblW w:w="49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0" w:hRule="atLeast"/>
                <w:jc w:val="center"/>
              </w:trPr>
              <w:tc>
                <w:tcPr>
                  <w:tcW w:w="5000" w:type="pct"/>
                  <w:shd w:val="clear"/>
                  <w:vAlign w:val="top"/>
                </w:tcPr>
                <w:p>
                  <w:pPr>
                    <w:pStyle w:val="2"/>
                    <w:keepNext w:val="0"/>
                    <w:keepLines w:val="0"/>
                    <w:widowControl/>
                    <w:suppressLineNumbers w:val="0"/>
                    <w:pBdr>
                      <w:top w:val="none" w:color="auto" w:sz="0" w:space="0"/>
                      <w:left w:val="none" w:color="auto" w:sz="0" w:space="0"/>
                      <w:bottom w:val="single" w:color="00000A" w:sz="6" w:space="0"/>
                      <w:right w:val="none" w:color="auto" w:sz="0" w:space="0"/>
                    </w:pBdr>
                    <w:spacing w:after="0" w:afterAutospacing="0" w:line="315" w:lineRule="atLeast"/>
                    <w:jc w:val="left"/>
                  </w:pPr>
                </w:p>
                <w:p>
                  <w:pPr>
                    <w:pStyle w:val="2"/>
                    <w:keepNext w:val="0"/>
                    <w:keepLines w:val="0"/>
                    <w:widowControl/>
                    <w:suppressLineNumbers w:val="0"/>
                    <w:spacing w:after="0" w:afterAutospacing="0" w:line="315" w:lineRule="atLeast"/>
                    <w:jc w:val="center"/>
                  </w:pPr>
                  <w:r>
                    <w:rPr>
                      <w:rFonts w:ascii="仿宋" w:hAnsi="仿宋" w:eastAsia="仿宋" w:cs="仿宋"/>
                      <w:color w:val="000000"/>
                      <w:sz w:val="30"/>
                      <w:szCs w:val="30"/>
                    </w:rPr>
                    <w:t>安徽省教育厅、安徽省物价局、安徽省财政厅《关于进一步完善我省高校收费政策有关问题的通知》</w:t>
                  </w:r>
                </w:p>
                <w:p>
                  <w:pPr>
                    <w:pStyle w:val="2"/>
                    <w:keepNext w:val="0"/>
                    <w:keepLines w:val="0"/>
                    <w:widowControl/>
                    <w:suppressLineNumbers w:val="0"/>
                    <w:pBdr>
                      <w:top w:val="single" w:color="00000A" w:sz="6" w:space="0"/>
                      <w:left w:val="none" w:color="auto" w:sz="0" w:space="0"/>
                      <w:bottom w:val="none" w:color="auto" w:sz="0" w:space="0"/>
                      <w:right w:val="none" w:color="auto" w:sz="0" w:space="0"/>
                    </w:pBdr>
                    <w:spacing w:after="0" w:afterAutospacing="0" w:line="315" w:lineRule="atLeast"/>
                    <w:jc w:val="center"/>
                  </w:pPr>
                  <w:r>
                    <w:rPr>
                      <w:rFonts w:hint="eastAsia" w:ascii="仿宋" w:hAnsi="仿宋" w:eastAsia="仿宋" w:cs="仿宋"/>
                      <w:color w:val="000000"/>
                      <w:sz w:val="30"/>
                      <w:szCs w:val="30"/>
                      <w:bdr w:val="none" w:color="auto" w:sz="0" w:space="0"/>
                    </w:rPr>
                    <w:t>教计〔2006〕15号</w:t>
                  </w:r>
                </w:p>
                <w:p>
                  <w:pPr>
                    <w:pStyle w:val="2"/>
                    <w:keepNext w:val="0"/>
                    <w:keepLines w:val="0"/>
                    <w:widowControl/>
                    <w:suppressLineNumbers w:val="0"/>
                    <w:spacing w:after="0" w:afterAutospacing="0" w:line="315" w:lineRule="atLeast"/>
                    <w:jc w:val="left"/>
                  </w:pPr>
                </w:p>
                <w:p>
                  <w:pPr>
                    <w:pStyle w:val="2"/>
                    <w:keepNext w:val="0"/>
                    <w:keepLines w:val="0"/>
                    <w:widowControl/>
                    <w:suppressLineNumbers w:val="0"/>
                    <w:spacing w:after="0" w:afterAutospacing="0" w:line="315" w:lineRule="atLeast"/>
                    <w:ind w:left="144" w:hanging="144"/>
                    <w:jc w:val="left"/>
                  </w:pPr>
                  <w:r>
                    <w:rPr>
                      <w:rFonts w:hint="eastAsia" w:ascii="仿宋" w:hAnsi="仿宋" w:eastAsia="仿宋" w:cs="仿宋"/>
                      <w:color w:val="000000"/>
                      <w:sz w:val="30"/>
                      <w:szCs w:val="30"/>
                    </w:rPr>
                    <w:t>各市教育局、物价局、财政局，各高等学校：</w:t>
                  </w:r>
                </w:p>
                <w:p>
                  <w:pPr>
                    <w:pStyle w:val="2"/>
                    <w:keepNext w:val="0"/>
                    <w:keepLines w:val="0"/>
                    <w:widowControl/>
                    <w:suppressLineNumbers w:val="0"/>
                    <w:spacing w:after="0" w:afterAutospacing="0" w:line="315" w:lineRule="atLeast"/>
                    <w:ind w:left="101" w:firstLine="446"/>
                    <w:jc w:val="left"/>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 xml:space="preserve">为进一步加强我省高校收费管理，规范高校收费行为，坚决治理乱收费，维护高校和学生的正当权益，保障学校、学生正常的教学及学习生活，促进高等教育事业持续健康发展，根据《教育部、国家发展改革委、财政部关于进一步规范高校教育收费管理若干问题的通知》（教财〔2006〕2号）精神，并经省政府同意，现就进一步完善我省高校收费政策有关问题通知如下： </w:t>
                  </w:r>
                </w:p>
                <w:p>
                  <w:pPr>
                    <w:pStyle w:val="2"/>
                    <w:keepNext w:val="0"/>
                    <w:keepLines w:val="0"/>
                    <w:widowControl/>
                    <w:suppressLineNumbers w:val="0"/>
                    <w:spacing w:after="0" w:afterAutospacing="0" w:line="315" w:lineRule="atLeast"/>
                    <w:ind w:left="101" w:firstLine="446"/>
                    <w:jc w:val="left"/>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一、关于高校学费、住宿费和考试费标准问题</w:t>
                  </w:r>
                </w:p>
                <w:p>
                  <w:pPr>
                    <w:pStyle w:val="2"/>
                    <w:keepNext w:val="0"/>
                    <w:keepLines w:val="0"/>
                    <w:widowControl/>
                    <w:suppressLineNumbers w:val="0"/>
                    <w:spacing w:after="0" w:afterAutospacing="0" w:line="315" w:lineRule="atLeast"/>
                    <w:ind w:left="101" w:firstLine="446"/>
                    <w:jc w:val="left"/>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明确有关学费、住宿费和考试费收费标准（详见附件）。</w:t>
                  </w:r>
                </w:p>
                <w:p>
                  <w:pPr>
                    <w:pStyle w:val="2"/>
                    <w:keepNext w:val="0"/>
                    <w:keepLines w:val="0"/>
                    <w:widowControl/>
                    <w:suppressLineNumbers w:val="0"/>
                    <w:spacing w:after="0" w:afterAutospacing="0" w:line="315" w:lineRule="atLeast"/>
                    <w:ind w:left="101" w:firstLine="446"/>
                    <w:jc w:val="left"/>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高校本科专业目录中的哲学类、经济学类、公安学类、教育学类、文学类（不含艺术）、历史学类和管理学类专业的收费按文科收费标准执行；理学类、工学类、农学类和医学类专业按理科收费标准执行；文学类（艺术）按艺术专业收费标准执行。普通高职高专专业目录中的专业收费，对照高校本科专业目录相应的专业执行相应的收费标准。</w:t>
                  </w:r>
                </w:p>
                <w:p>
                  <w:pPr>
                    <w:pStyle w:val="2"/>
                    <w:keepNext w:val="0"/>
                    <w:keepLines w:val="0"/>
                    <w:widowControl/>
                    <w:suppressLineNumbers w:val="0"/>
                    <w:spacing w:after="0" w:afterAutospacing="0" w:line="315" w:lineRule="atLeast"/>
                    <w:ind w:left="101" w:firstLine="446"/>
                    <w:jc w:val="left"/>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普通高校（包括二级学院）部分培养成本比较高的本科专业学费标准上浮政策仍按现行规定执行。高职高专专业不执行专业上浮政策。</w:t>
                  </w:r>
                </w:p>
                <w:p>
                  <w:pPr>
                    <w:pStyle w:val="2"/>
                    <w:keepNext w:val="0"/>
                    <w:keepLines w:val="0"/>
                    <w:widowControl/>
                    <w:suppressLineNumbers w:val="0"/>
                    <w:spacing w:after="0" w:afterAutospacing="0" w:line="315" w:lineRule="atLeast"/>
                    <w:ind w:left="101" w:firstLine="446"/>
                    <w:jc w:val="left"/>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初中起点五年制高职专业学生收费，前三年由学生就读学校按省物价局、财政厅、教育厅《关于调整我省大中专院校收费标准的通知》（皖价行费〔2000〕259号）规定的中等专业学校（含中师）学费标准收取，后两年转入高等职业教育阶段，由学生就读学校按高职收费标准收取。中等专业学校学费按学期收取，不得按年收费。</w:t>
                  </w:r>
                </w:p>
                <w:p>
                  <w:pPr>
                    <w:pStyle w:val="2"/>
                    <w:keepNext w:val="0"/>
                    <w:keepLines w:val="0"/>
                    <w:widowControl/>
                    <w:suppressLineNumbers w:val="0"/>
                    <w:spacing w:after="0" w:afterAutospacing="0" w:line="315" w:lineRule="atLeast"/>
                    <w:ind w:left="101" w:firstLine="446"/>
                    <w:jc w:val="left"/>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在不提高现行住宿费标准的前提下，由省物价局、财政厅、教育厅制定《安徽省高校学生公寓等级认定及收费管理办法》，对高校住宿费实行分等级定价管理。</w:t>
                  </w:r>
                </w:p>
                <w:p>
                  <w:pPr>
                    <w:pStyle w:val="2"/>
                    <w:keepNext w:val="0"/>
                    <w:keepLines w:val="0"/>
                    <w:widowControl/>
                    <w:suppressLineNumbers w:val="0"/>
                    <w:spacing w:after="0" w:afterAutospacing="0" w:line="315" w:lineRule="atLeast"/>
                    <w:ind w:left="101" w:firstLine="446"/>
                    <w:jc w:val="left"/>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二、关于高校服务性收费和代收费项目问题</w:t>
                  </w:r>
                </w:p>
                <w:p>
                  <w:pPr>
                    <w:pStyle w:val="2"/>
                    <w:keepNext w:val="0"/>
                    <w:keepLines w:val="0"/>
                    <w:widowControl/>
                    <w:suppressLineNumbers w:val="0"/>
                    <w:spacing w:after="0" w:afterAutospacing="0" w:line="315" w:lineRule="atLeast"/>
                    <w:ind w:left="101" w:firstLine="446"/>
                    <w:jc w:val="left"/>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一）服务性收费包括上网上机服务费、电子阅览室服务费、娱乐健身服务费、取暖费和公共洗浴、开水、假期留宿学生住宿等服务项目收费。学校必须坚持学生自愿和非营利原则，制定服务性收费标准，即时发生即时收取，不得与学费合并统一收取，严禁高校强制服务，或只收费不服务；高校向校外人员和单位提供服务的，也可收取相应的服务性费用。</w:t>
                  </w:r>
                </w:p>
                <w:p>
                  <w:pPr>
                    <w:pStyle w:val="2"/>
                    <w:keepNext w:val="0"/>
                    <w:keepLines w:val="0"/>
                    <w:widowControl/>
                    <w:suppressLineNumbers w:val="0"/>
                    <w:spacing w:after="0" w:afterAutospacing="0" w:line="315" w:lineRule="atLeast"/>
                    <w:ind w:left="101" w:firstLine="446"/>
                    <w:jc w:val="left"/>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高校以学校或院（系、所、中心等）名义，按照自愿原则面向在校学生和社会人员提供各类培训服务，向其收取培训费，培训费具体标准由高校按照成本补偿和非营利原则制定，报省教育厅、物价局、财政厅备案后执行。</w:t>
                  </w:r>
                </w:p>
                <w:p>
                  <w:pPr>
                    <w:pStyle w:val="2"/>
                    <w:keepNext w:val="0"/>
                    <w:keepLines w:val="0"/>
                    <w:widowControl/>
                    <w:suppressLineNumbers w:val="0"/>
                    <w:spacing w:after="0" w:afterAutospacing="0" w:line="315" w:lineRule="atLeast"/>
                    <w:ind w:left="101" w:firstLine="446"/>
                    <w:jc w:val="left"/>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二）代收费的主要项目包括教材费、体检费、军训服装费、医（工）科实习服装费、医科学生听诊器费、各类证卡工本费（基于校园网络服务的校园卡工本费、银行卡工本费、学生证工本费、借书证工本费、就餐卡费、体育卡费、居民身份证工本费）和户口迁移费等，此类收费坚持自愿前提，高校不得强行统一收取，也不得在缴纳学费时合并收取，并应及时据实结算、多退少补，不得在代办收费中加收任何费用。</w:t>
                  </w:r>
                </w:p>
                <w:p>
                  <w:pPr>
                    <w:pStyle w:val="2"/>
                    <w:keepNext w:val="0"/>
                    <w:keepLines w:val="0"/>
                    <w:widowControl/>
                    <w:suppressLineNumbers w:val="0"/>
                    <w:spacing w:after="0" w:afterAutospacing="0" w:line="315" w:lineRule="atLeast"/>
                    <w:ind w:left="101" w:firstLine="446"/>
                    <w:jc w:val="left"/>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高校学生公寓内床上用品和日用品由学生自主购买，高校不得为学生统一配备。学校在首次为学生办理学生证、借书证、毕业证、就餐卡等学生在校学习生活中必须使用或应当取得的证卡时，不得收取证卡工本费。</w:t>
                  </w:r>
                </w:p>
                <w:p>
                  <w:pPr>
                    <w:pStyle w:val="2"/>
                    <w:keepNext w:val="0"/>
                    <w:keepLines w:val="0"/>
                    <w:widowControl/>
                    <w:suppressLineNumbers w:val="0"/>
                    <w:spacing w:after="0" w:afterAutospacing="0" w:line="315" w:lineRule="atLeast"/>
                    <w:ind w:left="101" w:firstLine="446"/>
                    <w:jc w:val="left"/>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中等专业学校为学生提供相关服务的服务性收费和代收费，比照高校收费政策执行。</w:t>
                  </w:r>
                </w:p>
                <w:p>
                  <w:pPr>
                    <w:pStyle w:val="2"/>
                    <w:keepNext w:val="0"/>
                    <w:keepLines w:val="0"/>
                    <w:widowControl/>
                    <w:suppressLineNumbers w:val="0"/>
                    <w:spacing w:after="0" w:afterAutospacing="0" w:line="315" w:lineRule="atLeast"/>
                    <w:ind w:left="101" w:firstLine="446"/>
                    <w:jc w:val="left"/>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三、关于高校收费资金管理问题</w:t>
                  </w:r>
                </w:p>
                <w:p>
                  <w:pPr>
                    <w:pStyle w:val="2"/>
                    <w:keepNext w:val="0"/>
                    <w:keepLines w:val="0"/>
                    <w:widowControl/>
                    <w:suppressLineNumbers w:val="0"/>
                    <w:spacing w:after="0" w:afterAutospacing="0" w:line="315" w:lineRule="atLeast"/>
                    <w:ind w:left="101" w:firstLine="446"/>
                    <w:jc w:val="left"/>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各高校要按照教育部、国家发展改革委、财政部教财〔2006〕2号文件的规定，加强本校的收费资金管理，要按照核定的收费项目和收费标准确定收入数，全额纳入学校年度预算，各项收入必须由学校财务部门统一收取、统一管理、统一核算，不得“坐支”，严禁账外设账，严禁私设“小金库”和公款私存，转移资金，逃避监督。行政事业性收费要严格按照“收支两条线”管理，收入按照学校财务隶属关系及时上缴财政专户或金库。支出要按照批准的预算安排使用。各市人民政府及有关部门不得将高校的收费收入用于平衡预算，也不得以任何形式挤占、截留、挪用高校收费资金，确保高校收费资金统筹用于办学支出。</w:t>
                  </w:r>
                </w:p>
                <w:p>
                  <w:pPr>
                    <w:pStyle w:val="2"/>
                    <w:keepNext w:val="0"/>
                    <w:keepLines w:val="0"/>
                    <w:widowControl/>
                    <w:suppressLineNumbers w:val="0"/>
                    <w:spacing w:after="0" w:afterAutospacing="0" w:line="315" w:lineRule="atLeast"/>
                    <w:ind w:left="101" w:firstLine="446"/>
                    <w:jc w:val="left"/>
                  </w:pPr>
                  <w:r>
                    <w:rPr>
                      <w:rFonts w:hint="eastAsia" w:ascii="仿宋" w:hAnsi="仿宋" w:eastAsia="仿宋" w:cs="仿宋"/>
                      <w:color w:val="000000"/>
                      <w:sz w:val="30"/>
                      <w:szCs w:val="30"/>
                    </w:rPr>
                    <w:t>四、未涉及的其他收费政策仍按现行有关规定执行。今后涉及省属个别高校的具体专业学费、住宿费标准及服务性收费、代收费项目的调整，由高校向省教育厅提出申请，省教育厅审核提出意见；中国科技大学和合肥工业大学收费标准的调整，由学校提出意见，经学校主管部门同意后报省教育厅审核，省政府授权省物价局、省财政厅批准后执行。</w:t>
                  </w:r>
                </w:p>
                <w:tbl>
                  <w:tblPr>
                    <w:tblW w:w="5000" w:type="pct"/>
                    <w:tblCellSpacing w:w="0"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025"/>
                    <w:gridCol w:w="3370"/>
                    <w:gridCol w:w="47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1" w:hRule="atLeast"/>
                      <w:tblCellSpacing w:w="0" w:type="dxa"/>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ind w:left="0" w:firstLine="1051"/>
                          <w:jc w:val="left"/>
                        </w:pPr>
                        <w:r>
                          <w:rPr>
                            <w:rFonts w:hint="eastAsia" w:ascii="仿宋" w:hAnsi="仿宋" w:eastAsia="仿宋" w:cs="仿宋"/>
                            <w:color w:val="000000"/>
                            <w:sz w:val="30"/>
                            <w:szCs w:val="30"/>
                            <w:bdr w:val="none" w:color="auto" w:sz="0" w:space="0"/>
                          </w:rPr>
                          <w:t>安徽省高校有关教育收费项目和标准表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收费项目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ind w:left="0" w:firstLine="446"/>
                          <w:jc w:val="left"/>
                        </w:pPr>
                        <w:r>
                          <w:rPr>
                            <w:rFonts w:hint="eastAsia" w:ascii="仿宋" w:hAnsi="仿宋" w:eastAsia="仿宋" w:cs="仿宋"/>
                            <w:color w:val="000000"/>
                            <w:sz w:val="30"/>
                            <w:szCs w:val="30"/>
                            <w:bdr w:val="none" w:color="auto" w:sz="0" w:space="0"/>
                          </w:rPr>
                          <w:t>收费标准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一、学费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预科生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执行同层次标准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专升本学生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执行本科生标准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第二学士学位学费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执行本科生标准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双专业学生学费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执行同类专业收费标准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双学位学生学费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执行同类专业收费标准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辅修专业学位学生学费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执行同类专业收费标准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二级学院艺术类专业学费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13000元/生.学年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高职空中乘务专业学费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7000元/生.学年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专业学位研究生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8000元/生.学年；MBA：A类12000元/生.学年，B类：11000元/生.学年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在职攻读硕士学位研究生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6000元/生.年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在职攻读博士学位研究生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8000元/生.年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申请硕士学位的同等学力人员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6000元/生.次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申请博士学位的同等学力人员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6000元/生.次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示范性软件学院工程硕士研究生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8000元/生.年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委托培养、自筹经费硕士研究生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5000元/生.年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委托培养、自筹经费博士研究生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8000元/生.年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研究生课程进修班学生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按专业从3500-5000元/生.学年由学校自定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自费来华留学生：文科（本科）</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14000-26000元/生.学年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理科和工科类专业比照文科相应类别学费标准上浮10%～30%，医学、艺术、体育类专业比照文科相应类别学费标准上浮50%～100%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自费来华留学生：文科（硕士）</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18000-30000元/生.学年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理科和工科类专业比照文科相应类别学费标准上浮10%～30%，医学、艺术、体育类专业比照文科相应类别学费标准上浮50%～100%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自费来华留学生：文科（博士）</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22000-34000元/生.学年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理科和工科类专业比照文科相应类别学费标准上浮10%～30%，医学、艺术、体育类专业比照文科相应类别学费标准上浮50%～100%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应用型自考大专班学生学费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2000元/生.学年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高等教育自学考试实践环节考核</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150元／科</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高等教育自学考试本科毕业设计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文科：200元／生；理科：400元／生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高等教育自学考试二学历助学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1400元/生.年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成人教育同等学历(含高等教育自学考试)申请学士学位</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学位英语：50元／生；专业课考试费：50元／生；学位申请评审费：200元／生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二、住宿费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color w:val="000000"/>
                            <w:bdr w:val="none" w:color="auto" w:sz="0" w:space="0"/>
                          </w:rPr>
                          <w:t>       </w:t>
                        </w:r>
                        <w:r>
                          <w:rPr>
                            <w:rFonts w:hint="eastAsia" w:ascii="仿宋" w:hAnsi="仿宋" w:eastAsia="仿宋" w:cs="仿宋"/>
                            <w:color w:val="000000"/>
                            <w:sz w:val="30"/>
                            <w:szCs w:val="30"/>
                            <w:bdr w:val="none" w:color="auto" w:sz="0" w:space="0"/>
                          </w:rPr>
                          <w:t>住宿费（不超过2人间，含2人）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1200元/生.学年</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rPr>
                            <w:rFonts w:hint="eastAsia" w:ascii="仿宋" w:hAnsi="仿宋" w:eastAsia="仿宋" w:cs="仿宋"/>
                            <w:color w:val="000000"/>
                            <w:sz w:val="30"/>
                            <w:szCs w:val="30"/>
                            <w:bdr w:val="none" w:color="auto" w:sz="0" w:space="0"/>
                            <w:lang w:eastAsia="zh-CN"/>
                          </w:rPr>
                        </w:pPr>
                        <w:r>
                          <w:rPr>
                            <w:rFonts w:hint="eastAsia" w:ascii="仿宋" w:hAnsi="仿宋" w:eastAsia="仿宋" w:cs="仿宋"/>
                            <w:color w:val="000000"/>
                            <w:sz w:val="30"/>
                            <w:szCs w:val="30"/>
                            <w:bdr w:val="none" w:color="auto" w:sz="0" w:space="0"/>
                          </w:rPr>
                          <w:t>1、适应建设节约型校园的需要，学校可按寝室安装水表、电表，科学计量，按每生每月3吨水、4度电核定水电限额，超过限额部分由学校按供水和供电部门规定的价格，另行代收取</w:t>
                        </w:r>
                        <w:bookmarkStart w:id="0" w:name="_GoBack"/>
                        <w:bookmarkEnd w:id="0"/>
                      </w:p>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2、国家没有安排财政拨款的研究生住宿费比照普通高校本专科生收费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住宿费（不超过4人间，含4人）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1000元/生.学年</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jc w:val="center"/>
                          <w:rPr>
                            <w:rFonts w:hint="eastAsia" w:ascii="宋体"/>
                            <w:color w:val="262626"/>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住宿费（6人间以下，含6人）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800元/生.学年</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jc w:val="center"/>
                          <w:rPr>
                            <w:rFonts w:hint="eastAsia" w:ascii="宋体"/>
                            <w:color w:val="262626"/>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住宿费（6人间以上）</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600元/生.学年</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jc w:val="center"/>
                          <w:rPr>
                            <w:rFonts w:hint="eastAsia" w:ascii="宋体"/>
                            <w:color w:val="262626"/>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住宿费（普通宿舍）</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400元/生.学年</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jc w:val="center"/>
                          <w:rPr>
                            <w:rFonts w:hint="eastAsia" w:ascii="宋体"/>
                            <w:color w:val="262626"/>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三、考试费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硕士研究生入学考试费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rPr>
                            <w:rFonts w:hint="eastAsia" w:ascii="仿宋" w:hAnsi="仿宋" w:eastAsia="仿宋" w:cs="仿宋"/>
                            <w:color w:val="000000"/>
                            <w:sz w:val="30"/>
                            <w:szCs w:val="30"/>
                            <w:bdr w:val="none" w:color="auto" w:sz="0" w:space="0"/>
                            <w:lang w:eastAsia="zh-CN"/>
                          </w:rPr>
                        </w:pPr>
                        <w:r>
                          <w:rPr>
                            <w:rFonts w:hint="eastAsia" w:ascii="仿宋" w:hAnsi="仿宋" w:eastAsia="仿宋" w:cs="仿宋"/>
                            <w:color w:val="000000"/>
                            <w:sz w:val="30"/>
                            <w:szCs w:val="30"/>
                            <w:bdr w:val="none" w:color="auto" w:sz="0" w:space="0"/>
                          </w:rPr>
                          <w:t>报名费：20元/生</w:t>
                        </w:r>
                      </w:p>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加试费：20元/生.科</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博士研究生入学考试费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250元/人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专业硕士研究生入学考试费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rPr>
                            <w:rFonts w:hint="eastAsia" w:ascii="仿宋" w:hAnsi="仿宋" w:eastAsia="仿宋" w:cs="仿宋"/>
                            <w:color w:val="000000"/>
                            <w:sz w:val="30"/>
                            <w:szCs w:val="30"/>
                            <w:bdr w:val="none" w:color="auto" w:sz="0" w:space="0"/>
                            <w:lang w:eastAsia="zh-CN"/>
                          </w:rPr>
                        </w:pPr>
                        <w:r>
                          <w:rPr>
                            <w:rFonts w:hint="eastAsia" w:ascii="仿宋" w:hAnsi="仿宋" w:eastAsia="仿宋" w:cs="仿宋"/>
                            <w:color w:val="000000"/>
                            <w:sz w:val="30"/>
                            <w:szCs w:val="30"/>
                            <w:bdr w:val="none" w:color="auto" w:sz="0" w:space="0"/>
                          </w:rPr>
                          <w:t>报名费：20元/生</w:t>
                        </w:r>
                      </w:p>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加试费：20元/生.科</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专业博士研究生入学考试费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rPr>
                            <w:rFonts w:hint="eastAsia" w:ascii="仿宋" w:hAnsi="仿宋" w:eastAsia="仿宋" w:cs="仿宋"/>
                            <w:color w:val="000000"/>
                            <w:sz w:val="30"/>
                            <w:szCs w:val="30"/>
                            <w:bdr w:val="none" w:color="auto" w:sz="0" w:space="0"/>
                            <w:lang w:eastAsia="zh-CN"/>
                          </w:rPr>
                        </w:pPr>
                        <w:r>
                          <w:rPr>
                            <w:rFonts w:hint="eastAsia" w:ascii="仿宋" w:hAnsi="仿宋" w:eastAsia="仿宋" w:cs="仿宋"/>
                            <w:color w:val="000000"/>
                            <w:sz w:val="30"/>
                            <w:szCs w:val="30"/>
                            <w:bdr w:val="none" w:color="auto" w:sz="0" w:space="0"/>
                          </w:rPr>
                          <w:t>报名费：20元/生</w:t>
                        </w:r>
                      </w:p>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加试费：20元/生.科</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在职人员攻读硕士学位入学考试费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rPr>
                            <w:rFonts w:hint="eastAsia" w:ascii="仿宋" w:hAnsi="仿宋" w:eastAsia="仿宋" w:cs="仿宋"/>
                            <w:color w:val="000000"/>
                            <w:sz w:val="30"/>
                            <w:szCs w:val="30"/>
                            <w:bdr w:val="none" w:color="auto" w:sz="0" w:space="0"/>
                            <w:lang w:eastAsia="zh-CN"/>
                          </w:rPr>
                        </w:pPr>
                        <w:r>
                          <w:rPr>
                            <w:rFonts w:hint="eastAsia" w:ascii="仿宋" w:hAnsi="仿宋" w:eastAsia="仿宋" w:cs="仿宋"/>
                            <w:color w:val="000000"/>
                            <w:sz w:val="30"/>
                            <w:szCs w:val="30"/>
                            <w:bdr w:val="none" w:color="auto" w:sz="0" w:space="0"/>
                          </w:rPr>
                          <w:t>报名费：20元/生</w:t>
                        </w:r>
                      </w:p>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加试费：20元/生.科</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在职人员攻读博士学位入学考试费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rPr>
                            <w:rFonts w:hint="eastAsia" w:ascii="仿宋" w:hAnsi="仿宋" w:eastAsia="仿宋" w:cs="仿宋"/>
                            <w:color w:val="000000"/>
                            <w:sz w:val="30"/>
                            <w:szCs w:val="30"/>
                            <w:bdr w:val="none" w:color="auto" w:sz="0" w:space="0"/>
                            <w:lang w:eastAsia="zh-CN"/>
                          </w:rPr>
                        </w:pPr>
                        <w:r>
                          <w:rPr>
                            <w:rFonts w:hint="eastAsia" w:ascii="仿宋" w:hAnsi="仿宋" w:eastAsia="仿宋" w:cs="仿宋"/>
                            <w:color w:val="000000"/>
                            <w:sz w:val="30"/>
                            <w:szCs w:val="30"/>
                            <w:bdr w:val="none" w:color="auto" w:sz="0" w:space="0"/>
                          </w:rPr>
                          <w:t>报名费：20元/生</w:t>
                        </w:r>
                      </w:p>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加试费：20元/生.科</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同等学力人员申请硕士学位学科综合考试费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100元/生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同等学力人员申请硕士学位外语水平考试费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100元/生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同等学力人员申请博士学位水平考试费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rPr>
                            <w:rFonts w:hint="eastAsia" w:ascii="仿宋" w:hAnsi="仿宋" w:eastAsia="仿宋" w:cs="仿宋"/>
                            <w:color w:val="000000"/>
                            <w:sz w:val="30"/>
                            <w:szCs w:val="30"/>
                            <w:bdr w:val="none" w:color="auto" w:sz="0" w:space="0"/>
                            <w:lang w:eastAsia="zh-CN"/>
                          </w:rPr>
                        </w:pPr>
                        <w:r>
                          <w:rPr>
                            <w:rFonts w:hint="eastAsia" w:ascii="仿宋" w:hAnsi="仿宋" w:eastAsia="仿宋" w:cs="仿宋"/>
                            <w:color w:val="000000"/>
                            <w:sz w:val="30"/>
                            <w:szCs w:val="30"/>
                            <w:bdr w:val="none" w:color="auto" w:sz="0" w:space="0"/>
                          </w:rPr>
                          <w:t>报名费：20元/生</w:t>
                        </w:r>
                      </w:p>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加试费：20元/生.科</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网络教育学生入学考试费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100元/生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专升本考试费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110元/生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保送生测试费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jc w:val="left"/>
                        </w:pPr>
                        <w:r>
                          <w:rPr>
                            <w:rFonts w:hint="eastAsia" w:ascii="仿宋" w:hAnsi="仿宋" w:eastAsia="仿宋" w:cs="仿宋"/>
                            <w:color w:val="000000"/>
                            <w:sz w:val="30"/>
                            <w:szCs w:val="30"/>
                            <w:bdr w:val="none" w:color="auto" w:sz="0" w:space="0"/>
                          </w:rPr>
                          <w:t>40元/生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jc w:val="center"/>
                          <w:rPr>
                            <w:color w:val="262626"/>
                          </w:rPr>
                        </w:pPr>
                      </w:p>
                    </w:tc>
                  </w:tr>
                </w:tbl>
                <w:p>
                  <w:pPr>
                    <w:jc w:val="center"/>
                    <w:rPr>
                      <w:color w:val="262626"/>
                      <w:sz w:val="21"/>
                      <w:szCs w:val="21"/>
                    </w:rPr>
                  </w:pPr>
                </w:p>
              </w:tc>
            </w:tr>
          </w:tbl>
          <w:p>
            <w:pPr>
              <w:jc w:val="center"/>
              <w:rPr>
                <w:color w:val="262626"/>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YzExYzUwOWQ3MTNiNDkyNTk4YWE0NWMwMWNhOTIifQ=="/>
  </w:docVars>
  <w:rsids>
    <w:rsidRoot w:val="01141EC1"/>
    <w:rsid w:val="01141EC1"/>
    <w:rsid w:val="29680F11"/>
    <w:rsid w:val="350E4111"/>
    <w:rsid w:val="58590390"/>
    <w:rsid w:val="58844EF8"/>
    <w:rsid w:val="77F3065D"/>
    <w:rsid w:val="78937148"/>
    <w:rsid w:val="789F6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262626"/>
      <w:sz w:val="18"/>
      <w:szCs w:val="18"/>
      <w:u w:val="none"/>
    </w:rPr>
  </w:style>
  <w:style w:type="character" w:styleId="6">
    <w:name w:val="Hyperlink"/>
    <w:basedOn w:val="4"/>
    <w:uiPriority w:val="0"/>
    <w:rPr>
      <w:color w:val="262626"/>
      <w:sz w:val="18"/>
      <w:szCs w:val="18"/>
      <w:u w:val="none"/>
    </w:rPr>
  </w:style>
  <w:style w:type="character" w:customStyle="1" w:styleId="7">
    <w:name w:val="item-name"/>
    <w:basedOn w:val="4"/>
    <w:uiPriority w:val="0"/>
    <w:rPr>
      <w:bdr w:val="none" w:color="auto" w:sz="0" w:space="0"/>
    </w:rPr>
  </w:style>
  <w:style w:type="character" w:customStyle="1" w:styleId="8">
    <w:name w:val="item-name1"/>
    <w:basedOn w:val="4"/>
    <w:uiPriority w:val="0"/>
    <w:rPr>
      <w:bdr w:val="none" w:color="auto" w:sz="0" w:space="0"/>
    </w:rPr>
  </w:style>
  <w:style w:type="character" w:customStyle="1" w:styleId="9">
    <w:name w:val="style21"/>
    <w:basedOn w:val="4"/>
    <w:uiPriority w:val="0"/>
    <w:rPr>
      <w:color w:val="666666"/>
    </w:rPr>
  </w:style>
  <w:style w:type="character" w:customStyle="1" w:styleId="10">
    <w:name w:val="wp_visitcount1"/>
    <w:basedOn w:val="4"/>
    <w:uiPriority w:val="0"/>
    <w:rPr>
      <w:vanish/>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2024-09-06T06:49:00Z</dcterms:created>
  <dc:creator>夏保军</dc:creator>
  <cp:lastModifiedBy>夏保军</cp:lastModifiedBy>
  <dcterms:modified xsi:type="dcterms:W3CDTF">2024-09-06T06:54:17Z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B6E77CCA70D64EB98FF1EEF4156658D8_11</vt:lpwstr>
  </property>
</Properties>
</file>