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96F69">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思政实践基地暨虚仿中心评分标准</w:t>
      </w:r>
    </w:p>
    <w:p w14:paraId="1DF4CEE9">
      <w:pPr>
        <w:rPr>
          <w:sz w:val="28"/>
          <w:szCs w:val="28"/>
        </w:rPr>
      </w:pPr>
    </w:p>
    <w:tbl>
      <w:tblPr>
        <w:tblStyle w:val="6"/>
        <w:tblW w:w="9055"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830"/>
        <w:gridCol w:w="1280"/>
        <w:gridCol w:w="850"/>
        <w:gridCol w:w="3401"/>
        <w:gridCol w:w="1444"/>
      </w:tblGrid>
      <w:tr w14:paraId="38F5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50" w:type="dxa"/>
            <w:vAlign w:val="center"/>
          </w:tcPr>
          <w:p w14:paraId="661FD7FA">
            <w:pPr>
              <w:keepNext w:val="0"/>
              <w:keepLines w:val="0"/>
              <w:pageBreakBefore w:val="0"/>
              <w:widowControl w:val="0"/>
              <w:tabs>
                <w:tab w:val="left" w:pos="443"/>
              </w:tabs>
              <w:kinsoku/>
              <w:wordWrap/>
              <w:overflowPunct/>
              <w:topLinePunct w:val="0"/>
              <w:autoSpaceDE/>
              <w:autoSpaceDN/>
              <w:bidi w:val="0"/>
              <w:adjustRightInd/>
              <w:snapToGrid/>
              <w:spacing w:line="360" w:lineRule="exact"/>
              <w:jc w:val="center"/>
              <w:textAlignment w:val="auto"/>
              <w:rPr>
                <w:rFonts w:hint="default" w:eastAsiaTheme="minorEastAsia"/>
                <w:b/>
                <w:bCs/>
                <w:sz w:val="28"/>
                <w:szCs w:val="28"/>
                <w:vertAlign w:val="baseline"/>
                <w:lang w:val="en-US" w:eastAsia="zh-CN"/>
              </w:rPr>
            </w:pPr>
            <w:r>
              <w:rPr>
                <w:rFonts w:hint="eastAsia"/>
                <w:b/>
                <w:bCs/>
                <w:sz w:val="28"/>
                <w:szCs w:val="28"/>
                <w:vertAlign w:val="baseline"/>
                <w:lang w:val="en-US" w:eastAsia="zh-CN"/>
              </w:rPr>
              <w:t>项目及总分</w:t>
            </w:r>
          </w:p>
        </w:tc>
        <w:tc>
          <w:tcPr>
            <w:tcW w:w="830" w:type="dxa"/>
            <w:vAlign w:val="center"/>
          </w:tcPr>
          <w:p w14:paraId="140CB72A">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序号</w:t>
            </w:r>
          </w:p>
        </w:tc>
        <w:tc>
          <w:tcPr>
            <w:tcW w:w="1280" w:type="dxa"/>
            <w:vAlign w:val="center"/>
          </w:tcPr>
          <w:p w14:paraId="1039D03A">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类别</w:t>
            </w:r>
          </w:p>
        </w:tc>
        <w:tc>
          <w:tcPr>
            <w:tcW w:w="850" w:type="dxa"/>
            <w:vAlign w:val="center"/>
          </w:tcPr>
          <w:p w14:paraId="456D147A">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分值</w:t>
            </w:r>
          </w:p>
        </w:tc>
        <w:tc>
          <w:tcPr>
            <w:tcW w:w="3401" w:type="dxa"/>
            <w:vAlign w:val="center"/>
          </w:tcPr>
          <w:p w14:paraId="1FB3CD0B">
            <w:pPr>
              <w:jc w:val="center"/>
              <w:rPr>
                <w:rFonts w:hint="eastAsia" w:eastAsiaTheme="minorEastAsia"/>
                <w:b/>
                <w:bCs/>
                <w:sz w:val="28"/>
                <w:szCs w:val="28"/>
                <w:vertAlign w:val="baseline"/>
                <w:lang w:val="en-US" w:eastAsia="zh-CN"/>
              </w:rPr>
            </w:pPr>
            <w:r>
              <w:rPr>
                <w:rFonts w:hint="eastAsia"/>
                <w:b/>
                <w:bCs/>
                <w:sz w:val="28"/>
                <w:szCs w:val="28"/>
                <w:vertAlign w:val="baseline"/>
                <w:lang w:val="en-US" w:eastAsia="zh-CN"/>
              </w:rPr>
              <w:t>评分标准</w:t>
            </w:r>
          </w:p>
        </w:tc>
        <w:tc>
          <w:tcPr>
            <w:tcW w:w="1444" w:type="dxa"/>
            <w:vAlign w:val="center"/>
          </w:tcPr>
          <w:p w14:paraId="305495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Theme="minorEastAsia"/>
                <w:b/>
                <w:bCs/>
                <w:sz w:val="28"/>
                <w:szCs w:val="28"/>
                <w:vertAlign w:val="baseline"/>
                <w:lang w:val="en-US" w:eastAsia="zh-CN"/>
              </w:rPr>
            </w:pPr>
            <w:r>
              <w:rPr>
                <w:rFonts w:hint="eastAsia"/>
                <w:b/>
                <w:bCs/>
                <w:sz w:val="28"/>
                <w:szCs w:val="28"/>
                <w:vertAlign w:val="baseline"/>
                <w:lang w:val="en-US" w:eastAsia="zh-CN"/>
              </w:rPr>
              <w:t>备注</w:t>
            </w:r>
          </w:p>
        </w:tc>
      </w:tr>
      <w:tr w14:paraId="77D7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50" w:type="dxa"/>
            <w:vAlign w:val="center"/>
          </w:tcPr>
          <w:p w14:paraId="4A718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w:t>
            </w:r>
          </w:p>
          <w:p w14:paraId="2A915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（30分）</w:t>
            </w:r>
          </w:p>
        </w:tc>
        <w:tc>
          <w:tcPr>
            <w:tcW w:w="830" w:type="dxa"/>
            <w:vAlign w:val="center"/>
          </w:tcPr>
          <w:p w14:paraId="0C817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80" w:type="dxa"/>
            <w:vAlign w:val="center"/>
          </w:tcPr>
          <w:p w14:paraId="6A099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850" w:type="dxa"/>
            <w:vAlign w:val="center"/>
          </w:tcPr>
          <w:p w14:paraId="68260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401" w:type="dxa"/>
            <w:vAlign w:val="center"/>
          </w:tcPr>
          <w:p w14:paraId="4A4168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采用低价优先法计算，满足招标文件要求且投标价格最低的投标报价为评标基准价，其价格分为满分30分。其他投标人的价格分计算公式为：投标报价得分=（评标基准价/投标报价）×30×100%。</w:t>
            </w:r>
          </w:p>
        </w:tc>
        <w:tc>
          <w:tcPr>
            <w:tcW w:w="1444" w:type="dxa"/>
            <w:vAlign w:val="center"/>
          </w:tcPr>
          <w:p w14:paraId="64EA4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r>
      <w:tr w14:paraId="6FCF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250" w:type="dxa"/>
            <w:vMerge w:val="restart"/>
            <w:vAlign w:val="center"/>
          </w:tcPr>
          <w:p w14:paraId="281555F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附件一</w:t>
            </w:r>
          </w:p>
          <w:p w14:paraId="65A109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p w14:paraId="6E8B7B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bookmarkStart w:id="0" w:name="_GoBack"/>
            <w:bookmarkEnd w:id="0"/>
            <w:r>
              <w:rPr>
                <w:rFonts w:hint="eastAsia" w:ascii="宋体" w:hAnsi="宋体" w:eastAsia="宋体" w:cs="宋体"/>
                <w:sz w:val="24"/>
                <w:szCs w:val="24"/>
                <w:vertAlign w:val="baseline"/>
                <w:lang w:val="en-US" w:eastAsia="zh-CN"/>
              </w:rPr>
              <w:t>0分）</w:t>
            </w:r>
          </w:p>
        </w:tc>
        <w:tc>
          <w:tcPr>
            <w:tcW w:w="830" w:type="dxa"/>
            <w:vAlign w:val="center"/>
          </w:tcPr>
          <w:p w14:paraId="39C9CB8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80" w:type="dxa"/>
            <w:vAlign w:val="center"/>
          </w:tcPr>
          <w:p w14:paraId="29B951E5">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硬件产品技术参数及要求响应情况</w:t>
            </w:r>
          </w:p>
          <w:p w14:paraId="2D063CE7">
            <w:pPr>
              <w:jc w:val="center"/>
              <w:rPr>
                <w:rFonts w:hint="eastAsia" w:ascii="宋体" w:hAnsi="宋体" w:eastAsia="宋体" w:cs="宋体"/>
                <w:sz w:val="24"/>
                <w:szCs w:val="24"/>
                <w:vertAlign w:val="baseline"/>
                <w:lang w:val="en-US" w:eastAsia="zh-CN"/>
              </w:rPr>
            </w:pPr>
          </w:p>
        </w:tc>
        <w:tc>
          <w:tcPr>
            <w:tcW w:w="850" w:type="dxa"/>
            <w:vAlign w:val="center"/>
          </w:tcPr>
          <w:p w14:paraId="26356EC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3401" w:type="dxa"/>
            <w:vAlign w:val="center"/>
          </w:tcPr>
          <w:p w14:paraId="49393948">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（1）带★参数指标全部响应则视为达标，得16分；反之则该项为0分；</w:t>
            </w:r>
          </w:p>
          <w:p w14:paraId="284856F1">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（2）带</w:t>
            </w:r>
            <w:r>
              <w:rPr>
                <w:rFonts w:hint="eastAsia" w:ascii="宋体" w:hAnsi="宋体" w:eastAsia="宋体" w:cs="宋体"/>
                <w:b w:val="0"/>
                <w:bCs w:val="0"/>
                <w:vertAlign w:val="baseline"/>
                <w:lang w:val="en-US" w:eastAsia="zh-CN"/>
              </w:rPr>
              <w:t>▲</w:t>
            </w:r>
            <w:r>
              <w:rPr>
                <w:rFonts w:hint="eastAsia" w:ascii="宋体" w:hAnsi="宋体" w:eastAsia="宋体" w:cs="宋体"/>
                <w:sz w:val="24"/>
                <w:szCs w:val="24"/>
                <w:lang w:val="en-US" w:eastAsia="zh-CN"/>
              </w:rPr>
              <w:t>参数指标</w:t>
            </w:r>
            <w:r>
              <w:rPr>
                <w:rFonts w:hint="eastAsia" w:ascii="宋体" w:hAnsi="宋体" w:eastAsia="宋体" w:cs="宋体"/>
                <w:color w:val="000000"/>
                <w:kern w:val="0"/>
                <w:sz w:val="24"/>
                <w:szCs w:val="24"/>
                <w:lang w:val="en-US" w:eastAsia="zh-CN" w:bidi="ar"/>
              </w:rPr>
              <w:t>每满足一项得1分</w:t>
            </w:r>
            <w:r>
              <w:rPr>
                <w:rFonts w:hint="eastAsia" w:ascii="宋体" w:hAnsi="宋体" w:eastAsia="宋体" w:cs="宋体"/>
                <w:sz w:val="24"/>
                <w:szCs w:val="24"/>
                <w:lang w:val="en-US" w:eastAsia="zh-CN"/>
              </w:rPr>
              <w:t>，此项满分10分；</w:t>
            </w:r>
          </w:p>
          <w:p w14:paraId="0037A791">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（3）其他参数指标部分响应的得6分。</w:t>
            </w:r>
          </w:p>
        </w:tc>
        <w:tc>
          <w:tcPr>
            <w:tcW w:w="1444" w:type="dxa"/>
            <w:vAlign w:val="center"/>
          </w:tcPr>
          <w:p w14:paraId="7B174DB6">
            <w:pPr>
              <w:jc w:val="both"/>
              <w:rPr>
                <w:rFonts w:hint="eastAsia" w:ascii="宋体" w:hAnsi="宋体" w:eastAsia="宋体" w:cs="宋体"/>
                <w:vertAlign w:val="baseline"/>
                <w:lang w:val="en-US" w:eastAsia="zh-CN"/>
              </w:rPr>
            </w:pPr>
            <w:r>
              <w:rPr>
                <w:rFonts w:hint="eastAsia" w:ascii="宋体" w:hAnsi="宋体" w:eastAsia="宋体" w:cs="宋体"/>
                <w:sz w:val="24"/>
                <w:szCs w:val="24"/>
                <w:vertAlign w:val="baseline"/>
                <w:lang w:val="en-US" w:eastAsia="zh-CN"/>
              </w:rPr>
              <w:t>1.无标识项作为基础指标,有20条及以上不满足要求的，将导致投标无效。2.</w:t>
            </w:r>
            <w:r>
              <w:rPr>
                <w:rFonts w:hint="eastAsia" w:ascii="宋体" w:hAnsi="宋体" w:eastAsia="宋体" w:cs="宋体"/>
                <w:sz w:val="24"/>
                <w:szCs w:val="24"/>
                <w:vertAlign w:val="baseline"/>
              </w:rPr>
              <w:t>如某项标识中包含多条技术参数或要求，则该项标识所含内容均需满足或优于招标文件要求，否则不予认可</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3.满足带有标识性硬件相同参数要求的不重复计分。</w:t>
            </w:r>
          </w:p>
        </w:tc>
      </w:tr>
      <w:tr w14:paraId="1E9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dxa"/>
            <w:vMerge w:val="continue"/>
            <w:vAlign w:val="center"/>
          </w:tcPr>
          <w:p w14:paraId="3A7302A4">
            <w:pPr>
              <w:jc w:val="center"/>
              <w:rPr>
                <w:rFonts w:hint="eastAsia" w:ascii="宋体" w:hAnsi="宋体" w:eastAsia="宋体" w:cs="宋体"/>
                <w:sz w:val="24"/>
                <w:szCs w:val="24"/>
                <w:vertAlign w:val="baseline"/>
              </w:rPr>
            </w:pPr>
          </w:p>
        </w:tc>
        <w:tc>
          <w:tcPr>
            <w:tcW w:w="830" w:type="dxa"/>
            <w:vAlign w:val="center"/>
          </w:tcPr>
          <w:p w14:paraId="172766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80" w:type="dxa"/>
            <w:vAlign w:val="center"/>
          </w:tcPr>
          <w:p w14:paraId="3178DB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布展设计及制作</w:t>
            </w:r>
          </w:p>
        </w:tc>
        <w:tc>
          <w:tcPr>
            <w:tcW w:w="850" w:type="dxa"/>
            <w:vAlign w:val="center"/>
          </w:tcPr>
          <w:p w14:paraId="1DCD524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401" w:type="dxa"/>
            <w:vAlign w:val="center"/>
          </w:tcPr>
          <w:p w14:paraId="4820FBBA">
            <w:pPr>
              <w:numPr>
                <w:ilvl w:val="0"/>
                <w:numId w:val="1"/>
              </w:num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设计方案精准</w:t>
            </w:r>
            <w:r>
              <w:rPr>
                <w:rFonts w:hint="eastAsia" w:ascii="宋体" w:hAnsi="宋体" w:eastAsia="宋体" w:cs="宋体"/>
                <w:sz w:val="24"/>
                <w:szCs w:val="24"/>
                <w:vertAlign w:val="baseline"/>
                <w:lang w:val="en-US" w:eastAsia="zh-CN"/>
              </w:rPr>
              <w:t>呈现三大主题展厅核心内容与精神内涵，内容逻辑与叙事脉络清晰，章节安排合理，第一主题展厅能巧妙、有机地融入安徽地方党史元素，第二主题展厅能</w:t>
            </w:r>
            <w:r>
              <w:rPr>
                <w:rFonts w:hint="default" w:ascii="宋体" w:hAnsi="宋体" w:eastAsia="宋体" w:cs="宋体"/>
                <w:sz w:val="24"/>
                <w:szCs w:val="24"/>
                <w:vertAlign w:val="baseline"/>
                <w:lang w:val="en-US" w:eastAsia="zh-CN"/>
              </w:rPr>
              <w:t>紧密结合习近平总书记在安徽考察时的重要讲话精神，展示安徽在</w:t>
            </w:r>
            <w:r>
              <w:rPr>
                <w:rFonts w:hint="eastAsia" w:ascii="宋体" w:hAnsi="宋体" w:eastAsia="宋体" w:cs="宋体"/>
                <w:sz w:val="24"/>
                <w:szCs w:val="24"/>
                <w:vertAlign w:val="baseline"/>
                <w:lang w:val="en-US" w:eastAsia="zh-CN"/>
              </w:rPr>
              <w:t>新时代新征程</w:t>
            </w:r>
            <w:r>
              <w:rPr>
                <w:rFonts w:hint="default" w:ascii="宋体" w:hAnsi="宋体" w:eastAsia="宋体" w:cs="宋体"/>
                <w:sz w:val="24"/>
                <w:szCs w:val="24"/>
                <w:vertAlign w:val="baseline"/>
                <w:lang w:val="en-US" w:eastAsia="zh-CN"/>
              </w:rPr>
              <w:t>的生动实践和卓越成果</w:t>
            </w:r>
            <w:r>
              <w:rPr>
                <w:rFonts w:hint="eastAsia" w:ascii="宋体" w:hAnsi="宋体" w:eastAsia="宋体" w:cs="宋体"/>
                <w:sz w:val="24"/>
                <w:szCs w:val="24"/>
                <w:vertAlign w:val="baseline"/>
                <w:lang w:val="en-US" w:eastAsia="zh-CN"/>
              </w:rPr>
              <w:t>；第三主题展厅能将交通发展成就、交通精神与我校育人理念实现有机统一的得5分；设计内容较为平淡，思想深度不足，教育性一般，展线设计或叙事略显生硬，</w:t>
            </w:r>
            <w:r>
              <w:rPr>
                <w:rFonts w:hint="default" w:ascii="宋体" w:hAnsi="宋体" w:eastAsia="宋体" w:cs="宋体"/>
                <w:sz w:val="24"/>
                <w:szCs w:val="24"/>
                <w:vertAlign w:val="baseline"/>
                <w:lang w:val="en-US" w:eastAsia="zh-CN"/>
              </w:rPr>
              <w:t>融入考虑不足或仅有点缀性提及</w:t>
            </w:r>
            <w:r>
              <w:rPr>
                <w:rFonts w:hint="eastAsia" w:ascii="宋体" w:hAnsi="宋体" w:eastAsia="宋体" w:cs="宋体"/>
                <w:sz w:val="24"/>
                <w:szCs w:val="24"/>
                <w:vertAlign w:val="baseline"/>
                <w:lang w:val="en-US" w:eastAsia="zh-CN"/>
              </w:rPr>
              <w:t>，缺乏一定创新性的得3分；存在表述偏差或主题模糊，未能准确传达核心思想，内容堆砌，逻辑混乱，缺乏清晰的叙事线索得0分。</w:t>
            </w:r>
          </w:p>
          <w:p w14:paraId="211F3820">
            <w:pPr>
              <w:numPr>
                <w:ilvl w:val="0"/>
                <w:numId w:val="1"/>
              </w:num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计风格庄重大气，符合思政馆属性，表现形式新颖，空间规划合理，参观流线清晰的得4分；设计风格中规中矩，视觉效果一般，空间布局或流线设计存在个别不合理之处，但不影响整体使用的得2分；设计风格与主题不符，视觉效果差，布局混乱，存在明显的安全隐患或观展障碍得0分。</w:t>
            </w:r>
          </w:p>
          <w:p w14:paraId="6167F74F">
            <w:pPr>
              <w:numPr>
                <w:ilvl w:val="0"/>
                <w:numId w:val="1"/>
              </w:num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与技术手段有效结合提升观展体验效果，材料选用充分考虑项目的预算控制以及后期维护、内容更新的便捷性与成本的加3分；技术应用存在堆砌现象，与内容结合生硬，体验感一般，施工方案或预算存在一定风险，对后期维护考虑不周的得1分；方案明显不可行，或预算严重超标，缺乏后期维护考量得0分。</w:t>
            </w:r>
          </w:p>
        </w:tc>
        <w:tc>
          <w:tcPr>
            <w:tcW w:w="1444" w:type="dxa"/>
            <w:vAlign w:val="center"/>
          </w:tcPr>
          <w:p w14:paraId="292C318C">
            <w:pPr>
              <w:jc w:val="center"/>
              <w:rPr>
                <w:rFonts w:hint="eastAsia" w:ascii="宋体" w:hAnsi="宋体" w:eastAsia="宋体" w:cs="宋体"/>
                <w:vertAlign w:val="baseline"/>
                <w:lang w:eastAsia="zh-CN"/>
              </w:rPr>
            </w:pPr>
            <w:r>
              <w:rPr>
                <w:rFonts w:hint="eastAsia" w:ascii="宋体" w:hAnsi="宋体" w:eastAsia="宋体" w:cs="宋体"/>
                <w:sz w:val="21"/>
                <w:szCs w:val="21"/>
                <w:vertAlign w:val="baseline"/>
                <w:lang w:val="en-US" w:eastAsia="zh-CN"/>
              </w:rPr>
              <w:t>对应总序号</w:t>
            </w:r>
            <w:r>
              <w:rPr>
                <w:rFonts w:hint="eastAsia" w:ascii="宋体" w:hAnsi="宋体" w:eastAsia="宋体" w:cs="宋体"/>
                <w:vertAlign w:val="baseline"/>
                <w:lang w:val="en-US" w:eastAsia="zh-CN"/>
              </w:rPr>
              <w:t>8</w:t>
            </w:r>
            <w:r>
              <w:rPr>
                <w:rFonts w:hint="eastAsia" w:ascii="宋体" w:hAnsi="宋体" w:eastAsia="宋体" w:cs="宋体"/>
                <w:vertAlign w:val="baseline"/>
              </w:rPr>
              <w:t>；</w:t>
            </w:r>
            <w:r>
              <w:rPr>
                <w:rFonts w:hint="eastAsia" w:ascii="宋体" w:hAnsi="宋体" w:eastAsia="宋体" w:cs="宋体"/>
                <w:vertAlign w:val="baseline"/>
                <w:lang w:val="en-US" w:eastAsia="zh-CN"/>
              </w:rPr>
              <w:t>24</w:t>
            </w:r>
            <w:r>
              <w:rPr>
                <w:rFonts w:hint="eastAsia" w:ascii="宋体" w:hAnsi="宋体" w:eastAsia="宋体" w:cs="宋体"/>
                <w:vertAlign w:val="baseline"/>
              </w:rPr>
              <w:t>；</w:t>
            </w:r>
            <w:r>
              <w:rPr>
                <w:rFonts w:hint="eastAsia" w:ascii="宋体" w:hAnsi="宋体" w:eastAsia="宋体" w:cs="宋体"/>
                <w:vertAlign w:val="baseline"/>
                <w:lang w:val="en-US" w:eastAsia="zh-CN"/>
              </w:rPr>
              <w:t>41</w:t>
            </w:r>
          </w:p>
        </w:tc>
      </w:tr>
      <w:tr w14:paraId="2760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250" w:type="dxa"/>
            <w:vMerge w:val="continue"/>
            <w:vAlign w:val="center"/>
          </w:tcPr>
          <w:p w14:paraId="1343FEAF">
            <w:pPr>
              <w:jc w:val="center"/>
              <w:rPr>
                <w:rFonts w:hint="eastAsia" w:ascii="宋体" w:hAnsi="宋体" w:eastAsia="宋体" w:cs="宋体"/>
                <w:sz w:val="24"/>
                <w:szCs w:val="24"/>
                <w:vertAlign w:val="baseline"/>
              </w:rPr>
            </w:pPr>
          </w:p>
        </w:tc>
        <w:tc>
          <w:tcPr>
            <w:tcW w:w="830" w:type="dxa"/>
            <w:vAlign w:val="center"/>
          </w:tcPr>
          <w:p w14:paraId="000745A8">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80" w:type="dxa"/>
            <w:vAlign w:val="center"/>
          </w:tcPr>
          <w:p w14:paraId="36DFA42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教学资源</w:t>
            </w:r>
          </w:p>
        </w:tc>
        <w:tc>
          <w:tcPr>
            <w:tcW w:w="850" w:type="dxa"/>
            <w:vAlign w:val="center"/>
          </w:tcPr>
          <w:p w14:paraId="440DAC0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3401" w:type="dxa"/>
            <w:shd w:val="clear" w:color="auto" w:fill="auto"/>
            <w:vAlign w:val="center"/>
          </w:tcPr>
          <w:p w14:paraId="314466A4">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1.带★参数指标全部响应则视为达标，得12分；反之则该项为0分。</w:t>
            </w:r>
          </w:p>
          <w:p w14:paraId="1D587BAA">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2.除满足★参数指标响应得分以外：</w:t>
            </w:r>
          </w:p>
          <w:p w14:paraId="136EA9BE">
            <w:pPr>
              <w:jc w:val="left"/>
              <w:rPr>
                <w:rFonts w:hint="eastAsia" w:ascii="宋体" w:hAnsi="宋体" w:eastAsia="宋体" w:cs="宋体"/>
                <w:sz w:val="24"/>
                <w:szCs w:val="24"/>
                <w:lang w:val="en-US" w:eastAsia="zh-CN"/>
              </w:rPr>
            </w:pPr>
            <w:r>
              <w:rPr>
                <w:rFonts w:hint="eastAsia" w:ascii="宋体" w:hAnsi="宋体" w:eastAsia="宋体" w:cs="宋体"/>
                <w:sz w:val="24"/>
                <w:szCs w:val="24"/>
                <w:vertAlign w:val="baseline"/>
              </w:rPr>
              <w:t>①</w:t>
            </w:r>
            <w:r>
              <w:rPr>
                <w:rFonts w:hint="eastAsia" w:ascii="宋体" w:hAnsi="宋体" w:eastAsia="宋体" w:cs="宋体"/>
                <w:sz w:val="24"/>
                <w:szCs w:val="24"/>
                <w:lang w:val="en-US" w:eastAsia="zh-CN"/>
              </w:rPr>
              <w:t>免费提供包括但不局限于附件中3套以下与思政、交通发展以及文化精神相关的教学资源得2分；</w:t>
            </w:r>
          </w:p>
          <w:p w14:paraId="4AC46DBA">
            <w:pPr>
              <w:jc w:val="left"/>
              <w:rPr>
                <w:rFonts w:hint="eastAsia" w:ascii="宋体" w:hAnsi="宋体" w:eastAsia="宋体" w:cs="宋体"/>
                <w:sz w:val="24"/>
                <w:szCs w:val="24"/>
                <w:lang w:val="en-US" w:eastAsia="zh-CN"/>
              </w:rPr>
            </w:pPr>
            <w:r>
              <w:rPr>
                <w:rFonts w:hint="eastAsia" w:ascii="宋体" w:hAnsi="宋体" w:eastAsia="宋体" w:cs="宋体"/>
                <w:sz w:val="24"/>
                <w:szCs w:val="24"/>
                <w:vertAlign w:val="baseline"/>
              </w:rPr>
              <w:t>②</w:t>
            </w:r>
            <w:r>
              <w:rPr>
                <w:rFonts w:hint="eastAsia" w:ascii="宋体" w:hAnsi="宋体" w:eastAsia="宋体" w:cs="宋体"/>
                <w:sz w:val="24"/>
                <w:szCs w:val="24"/>
                <w:lang w:val="en-US" w:eastAsia="zh-CN"/>
              </w:rPr>
              <w:t>免费提供包括但不局限于附件中3-5套与思政、交通发展以及文化精神相关的教学资源得4分；</w:t>
            </w:r>
          </w:p>
          <w:p w14:paraId="6D69081E">
            <w:pPr>
              <w:jc w:val="left"/>
              <w:rPr>
                <w:rFonts w:hint="default" w:ascii="宋体" w:hAnsi="宋体" w:eastAsia="宋体" w:cs="宋体"/>
                <w:sz w:val="24"/>
                <w:szCs w:val="24"/>
                <w:lang w:val="en-US" w:eastAsia="zh-CN"/>
              </w:rPr>
            </w:pPr>
            <w:r>
              <w:rPr>
                <w:rFonts w:hint="eastAsia" w:ascii="宋体" w:hAnsi="宋体" w:eastAsia="宋体" w:cs="宋体"/>
                <w:sz w:val="24"/>
                <w:szCs w:val="24"/>
                <w:vertAlign w:val="baseline"/>
              </w:rPr>
              <w:t>③</w:t>
            </w:r>
            <w:r>
              <w:rPr>
                <w:rFonts w:hint="eastAsia" w:ascii="宋体" w:hAnsi="宋体" w:eastAsia="宋体" w:cs="宋体"/>
                <w:sz w:val="24"/>
                <w:szCs w:val="24"/>
                <w:lang w:val="en-US" w:eastAsia="zh-CN"/>
              </w:rPr>
              <w:t>免费提供包括但不局限于附件中5套以上与思政、交通发展以及文化精神相关的教学资源得6分。</w:t>
            </w:r>
          </w:p>
        </w:tc>
        <w:tc>
          <w:tcPr>
            <w:tcW w:w="1444" w:type="dxa"/>
            <w:shd w:val="clear" w:color="auto" w:fill="auto"/>
            <w:vAlign w:val="center"/>
          </w:tcPr>
          <w:p w14:paraId="3086191E">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sz w:val="24"/>
                <w:szCs w:val="24"/>
                <w:vertAlign w:val="baseline"/>
                <w:lang w:val="en-US" w:eastAsia="zh-CN"/>
              </w:rPr>
              <w:t>对应总序号</w:t>
            </w:r>
            <w:r>
              <w:rPr>
                <w:rFonts w:hint="eastAsia"/>
                <w:vertAlign w:val="baseline"/>
                <w:lang w:val="en-US" w:eastAsia="zh-CN"/>
              </w:rPr>
              <w:t>9</w:t>
            </w:r>
            <w:r>
              <w:rPr>
                <w:rFonts w:hint="eastAsia"/>
                <w:vertAlign w:val="baseline"/>
              </w:rPr>
              <w:t>；</w:t>
            </w:r>
            <w:r>
              <w:rPr>
                <w:rFonts w:hint="eastAsia"/>
                <w:vertAlign w:val="baseline"/>
                <w:lang w:val="en-US" w:eastAsia="zh-CN"/>
              </w:rPr>
              <w:t>10</w:t>
            </w:r>
            <w:r>
              <w:rPr>
                <w:rFonts w:hint="eastAsia"/>
                <w:vertAlign w:val="baseline"/>
              </w:rPr>
              <w:t>；</w:t>
            </w:r>
            <w:r>
              <w:rPr>
                <w:rFonts w:hint="eastAsia"/>
                <w:vertAlign w:val="baseline"/>
                <w:lang w:val="en-US" w:eastAsia="zh-CN"/>
              </w:rPr>
              <w:t>11</w:t>
            </w:r>
            <w:r>
              <w:rPr>
                <w:rFonts w:hint="eastAsia"/>
                <w:vertAlign w:val="baseline"/>
              </w:rPr>
              <w:t>；</w:t>
            </w:r>
            <w:r>
              <w:rPr>
                <w:rFonts w:hint="eastAsia"/>
                <w:vertAlign w:val="baseline"/>
                <w:lang w:val="en-US" w:eastAsia="zh-CN"/>
              </w:rPr>
              <w:t>12；13；14；15；16；17；25；26；27；28；29；30；31；32；33；34；42；43；44；45；46；47；48；74；75</w:t>
            </w:r>
          </w:p>
        </w:tc>
      </w:tr>
      <w:tr w14:paraId="7529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50" w:type="dxa"/>
            <w:vMerge w:val="continue"/>
            <w:vAlign w:val="center"/>
          </w:tcPr>
          <w:p w14:paraId="03C8DBA4">
            <w:pPr>
              <w:jc w:val="center"/>
              <w:rPr>
                <w:rFonts w:hint="eastAsia" w:ascii="宋体" w:hAnsi="宋体" w:eastAsia="宋体" w:cs="宋体"/>
                <w:sz w:val="24"/>
                <w:szCs w:val="24"/>
                <w:vertAlign w:val="baseline"/>
                <w:lang w:val="en-US" w:eastAsia="zh-CN"/>
              </w:rPr>
            </w:pPr>
          </w:p>
        </w:tc>
        <w:tc>
          <w:tcPr>
            <w:tcW w:w="830" w:type="dxa"/>
            <w:vMerge w:val="restart"/>
            <w:vAlign w:val="center"/>
          </w:tcPr>
          <w:p w14:paraId="4BFD972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80" w:type="dxa"/>
            <w:vMerge w:val="restart"/>
            <w:vAlign w:val="center"/>
          </w:tcPr>
          <w:p w14:paraId="65AF337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企业业绩及项目售后服务方案</w:t>
            </w:r>
          </w:p>
        </w:tc>
        <w:tc>
          <w:tcPr>
            <w:tcW w:w="850" w:type="dxa"/>
            <w:vAlign w:val="center"/>
          </w:tcPr>
          <w:p w14:paraId="2B4E7FA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401" w:type="dxa"/>
            <w:vAlign w:val="center"/>
          </w:tcPr>
          <w:p w14:paraId="669E46E4">
            <w:pPr>
              <w:numPr>
                <w:ilvl w:val="0"/>
                <w:numId w:val="2"/>
              </w:num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业绩：</w:t>
            </w:r>
            <w:r>
              <w:rPr>
                <w:rFonts w:hint="eastAsia" w:ascii="宋体" w:hAnsi="宋体" w:eastAsia="宋体" w:cs="宋体"/>
                <w:sz w:val="24"/>
                <w:szCs w:val="24"/>
                <w:vertAlign w:val="baseline"/>
              </w:rPr>
              <w:t>供应商2021年1月1日至今，有高校思政校内实践基地</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虚拟仿真教学中心建设项目类似业绩</w:t>
            </w:r>
            <w:r>
              <w:rPr>
                <w:rFonts w:hint="eastAsia" w:ascii="宋体" w:hAnsi="宋体" w:eastAsia="宋体" w:cs="宋体"/>
                <w:sz w:val="24"/>
                <w:szCs w:val="24"/>
                <w:vertAlign w:val="baseline"/>
                <w:lang w:val="en-US" w:eastAsia="zh-CN"/>
              </w:rPr>
              <w:t>或其他党建思政类场馆建设</w:t>
            </w:r>
            <w:r>
              <w:rPr>
                <w:rFonts w:hint="eastAsia" w:ascii="宋体" w:hAnsi="宋体" w:eastAsia="宋体" w:cs="宋体"/>
                <w:sz w:val="24"/>
                <w:szCs w:val="24"/>
                <w:vertAlign w:val="baseline"/>
              </w:rPr>
              <w:t>（以合同签订时间为准）的：每提供1个类似业绩（业绩至少须包含核心产品）得1分，此项满分</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分。业绩必须同时提供： ①中标通知书或公共资源交易网上的成交结果公告 ②合同 ③验收合格证明材料（包括但不限于：验收报告或发票）</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供应商投标时编制业绩汇总一览表，将扫描件放入投标文件内，业绩资料不全或未提供资料均不得分</w:t>
            </w:r>
            <w:r>
              <w:rPr>
                <w:rFonts w:hint="eastAsia" w:ascii="宋体" w:hAnsi="宋体" w:eastAsia="宋体" w:cs="宋体"/>
                <w:sz w:val="24"/>
                <w:szCs w:val="24"/>
                <w:vertAlign w:val="baseline"/>
                <w:lang w:eastAsia="zh-CN"/>
              </w:rPr>
              <w:t>。</w:t>
            </w:r>
          </w:p>
          <w:p w14:paraId="069B7AF9">
            <w:pPr>
              <w:numPr>
                <w:ilvl w:val="0"/>
                <w:numId w:val="2"/>
              </w:num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允许</w:t>
            </w:r>
            <w:r>
              <w:rPr>
                <w:rFonts w:hint="eastAsia" w:ascii="宋体" w:hAnsi="宋体" w:eastAsia="宋体" w:cs="宋体"/>
                <w:sz w:val="24"/>
                <w:szCs w:val="24"/>
                <w:vertAlign w:val="baseline"/>
                <w:lang w:val="en-US" w:eastAsia="zh-CN"/>
              </w:rPr>
              <w:t>两家单位</w:t>
            </w:r>
            <w:r>
              <w:rPr>
                <w:rFonts w:hint="eastAsia" w:ascii="宋体" w:hAnsi="宋体" w:eastAsia="宋体" w:cs="宋体"/>
                <w:sz w:val="24"/>
                <w:szCs w:val="24"/>
                <w:vertAlign w:val="baseline"/>
                <w:lang w:eastAsia="zh-CN"/>
              </w:rPr>
              <w:t>以联合体形式参加</w:t>
            </w:r>
            <w:r>
              <w:rPr>
                <w:rFonts w:hint="eastAsia" w:ascii="宋体" w:hAnsi="宋体" w:eastAsia="宋体" w:cs="宋体"/>
                <w:sz w:val="24"/>
                <w:szCs w:val="24"/>
                <w:vertAlign w:val="baseline"/>
                <w:lang w:val="en-US" w:eastAsia="zh-CN"/>
              </w:rPr>
              <w:t>投标</w:t>
            </w:r>
            <w:r>
              <w:rPr>
                <w:rFonts w:hint="eastAsia" w:ascii="宋体" w:hAnsi="宋体" w:eastAsia="宋体" w:cs="宋体"/>
                <w:sz w:val="24"/>
                <w:szCs w:val="24"/>
                <w:vertAlign w:val="baseline"/>
                <w:lang w:eastAsia="zh-CN"/>
              </w:rPr>
              <w:t>。</w:t>
            </w:r>
          </w:p>
        </w:tc>
        <w:tc>
          <w:tcPr>
            <w:tcW w:w="1444" w:type="dxa"/>
            <w:vAlign w:val="center"/>
          </w:tcPr>
          <w:p w14:paraId="79F68D63">
            <w:pPr>
              <w:jc w:val="center"/>
              <w:rPr>
                <w:vertAlign w:val="baseline"/>
              </w:rPr>
            </w:pPr>
            <w:r>
              <w:rPr>
                <w:rFonts w:hint="eastAsia" w:ascii="宋体" w:hAnsi="宋体" w:eastAsia="宋体" w:cs="宋体"/>
                <w:sz w:val="24"/>
                <w:szCs w:val="24"/>
                <w:vertAlign w:val="baseline"/>
              </w:rPr>
              <w:t>供应商对其资料的真实性负责，若虚假资料将按照《政府采购法》及其实施条例处罚）。</w:t>
            </w:r>
          </w:p>
        </w:tc>
      </w:tr>
      <w:tr w14:paraId="363D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250" w:type="dxa"/>
            <w:vMerge w:val="continue"/>
            <w:vAlign w:val="center"/>
          </w:tcPr>
          <w:p w14:paraId="4E367489">
            <w:pPr>
              <w:jc w:val="center"/>
              <w:rPr>
                <w:rFonts w:hint="eastAsia" w:ascii="宋体" w:hAnsi="宋体" w:eastAsia="宋体" w:cs="宋体"/>
                <w:sz w:val="24"/>
                <w:szCs w:val="24"/>
                <w:vertAlign w:val="baseline"/>
              </w:rPr>
            </w:pPr>
          </w:p>
        </w:tc>
        <w:tc>
          <w:tcPr>
            <w:tcW w:w="830" w:type="dxa"/>
            <w:vMerge w:val="continue"/>
            <w:vAlign w:val="center"/>
          </w:tcPr>
          <w:p w14:paraId="2BFE653C">
            <w:pPr>
              <w:jc w:val="center"/>
              <w:rPr>
                <w:rFonts w:hint="eastAsia" w:ascii="宋体" w:hAnsi="宋体" w:eastAsia="宋体" w:cs="宋体"/>
                <w:sz w:val="24"/>
                <w:szCs w:val="24"/>
                <w:vertAlign w:val="baseline"/>
                <w:lang w:val="en-US" w:eastAsia="zh-CN"/>
              </w:rPr>
            </w:pPr>
          </w:p>
        </w:tc>
        <w:tc>
          <w:tcPr>
            <w:tcW w:w="1280" w:type="dxa"/>
            <w:vMerge w:val="continue"/>
            <w:vAlign w:val="center"/>
          </w:tcPr>
          <w:p w14:paraId="2E6608A5">
            <w:pPr>
              <w:jc w:val="center"/>
              <w:rPr>
                <w:rFonts w:hint="eastAsia" w:ascii="宋体" w:hAnsi="宋体" w:eastAsia="宋体" w:cs="宋体"/>
                <w:sz w:val="24"/>
                <w:szCs w:val="24"/>
                <w:vertAlign w:val="baseline"/>
                <w:lang w:val="en-US" w:eastAsia="zh-CN"/>
              </w:rPr>
            </w:pPr>
          </w:p>
        </w:tc>
        <w:tc>
          <w:tcPr>
            <w:tcW w:w="850" w:type="dxa"/>
            <w:vAlign w:val="center"/>
          </w:tcPr>
          <w:p w14:paraId="3E5D1BC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401" w:type="dxa"/>
            <w:vAlign w:val="center"/>
          </w:tcPr>
          <w:p w14:paraId="4B558401">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eastAsia="宋体" w:cs="宋体"/>
                <w:sz w:val="24"/>
                <w:szCs w:val="24"/>
                <w:vertAlign w:val="baseline"/>
                <w:lang w:val="en-US" w:eastAsia="zh-CN"/>
              </w:rPr>
              <w:t>设计及实施</w:t>
            </w:r>
            <w:r>
              <w:rPr>
                <w:rFonts w:hint="eastAsia" w:ascii="宋体" w:hAnsi="宋体" w:eastAsia="宋体" w:cs="宋体"/>
                <w:sz w:val="24"/>
                <w:szCs w:val="24"/>
                <w:vertAlign w:val="baseline"/>
              </w:rPr>
              <w:t>方案完整详细、人员配置优越，工期计划及安排合理，针对性及可操作性强，设计效果新颖、施工图详细具体</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售后服务</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含培训</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方案全面完善，人员安排充足，技术保障强，响应时间快，能在2个小时内提供及时有效的应急服务；能提供具体的拟投入本项目的售后服务团队名单（提供售后服务联系人姓名、电话、详细地址等信息），维修应急预案、保修期外维修服务方案详细、具体，零配件储备供应充足；服务措施详细可行性强，充分为采购人考虑的，针对设备、资源的使用及维护保养方案比较详细，培训方式合理，培训内容丰富详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得</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p>
          <w:p w14:paraId="5A514115">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2.方案简单，工期计划及进度安排有待加强，针对性及可操作性一般的</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售后服务方案较为全面技术保障较强，响应时间合理，能在4个小时内提供及时有效的应急服务；定期回访维护方案、售后服务方式等符合实际且有一定针对性的，得</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分；</w:t>
            </w:r>
          </w:p>
          <w:p w14:paraId="7A0A6B7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.差的或未提供的不计分。</w:t>
            </w:r>
          </w:p>
        </w:tc>
        <w:tc>
          <w:tcPr>
            <w:tcW w:w="1444" w:type="dxa"/>
            <w:vAlign w:val="center"/>
          </w:tcPr>
          <w:p w14:paraId="466E4FA0">
            <w:pPr>
              <w:jc w:val="center"/>
              <w:rPr>
                <w:vertAlign w:val="baseline"/>
              </w:rPr>
            </w:pPr>
            <w:r>
              <w:rPr>
                <w:rFonts w:hint="eastAsia" w:ascii="宋体" w:hAnsi="宋体" w:eastAsia="宋体" w:cs="宋体"/>
                <w:sz w:val="24"/>
                <w:szCs w:val="24"/>
                <w:vertAlign w:val="baseline"/>
              </w:rPr>
              <w:t>该方案内容可以包括</w:t>
            </w:r>
            <w:r>
              <w:rPr>
                <w:rFonts w:hint="eastAsia" w:ascii="宋体" w:hAnsi="宋体" w:eastAsia="宋体" w:cs="宋体"/>
                <w:sz w:val="24"/>
                <w:szCs w:val="24"/>
                <w:vertAlign w:val="baseline"/>
                <w:lang w:val="en-US" w:eastAsia="zh-CN"/>
              </w:rPr>
              <w:t>但不限于</w:t>
            </w:r>
            <w:r>
              <w:rPr>
                <w:rFonts w:hint="eastAsia" w:ascii="宋体" w:hAnsi="宋体" w:eastAsia="宋体" w:cs="宋体"/>
                <w:sz w:val="24"/>
                <w:szCs w:val="24"/>
                <w:vertAlign w:val="baseline"/>
              </w:rPr>
              <w:t>：（1）人员配置；（2）职责分工；（3）工期计划及进度；（4）设计效果图；（5）施工图</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rPr>
              <w:t>）定期回访维护方案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rPr>
              <w:t>）售后服务技术支持；（</w:t>
            </w:r>
            <w:r>
              <w:rPr>
                <w:rFonts w:hint="eastAsia" w:ascii="宋体" w:hAnsi="宋体" w:eastAsia="宋体" w:cs="宋体"/>
                <w:sz w:val="24"/>
                <w:szCs w:val="24"/>
                <w:vertAlign w:val="baseline"/>
                <w:lang w:val="en-US" w:eastAsia="zh-CN"/>
              </w:rPr>
              <w:t>8</w:t>
            </w:r>
            <w:r>
              <w:rPr>
                <w:rFonts w:hint="eastAsia" w:ascii="宋体" w:hAnsi="宋体" w:eastAsia="宋体" w:cs="宋体"/>
                <w:sz w:val="24"/>
                <w:szCs w:val="24"/>
                <w:vertAlign w:val="baseline"/>
              </w:rPr>
              <w:t>）维修应急预案；（</w:t>
            </w:r>
            <w:r>
              <w:rPr>
                <w:rFonts w:hint="eastAsia" w:ascii="宋体" w:hAnsi="宋体" w:eastAsia="宋体" w:cs="宋体"/>
                <w:sz w:val="24"/>
                <w:szCs w:val="24"/>
                <w:vertAlign w:val="baseline"/>
                <w:lang w:val="en-US" w:eastAsia="zh-CN"/>
              </w:rPr>
              <w:t>9</w:t>
            </w:r>
            <w:r>
              <w:rPr>
                <w:rFonts w:hint="eastAsia" w:ascii="宋体" w:hAnsi="宋体" w:eastAsia="宋体" w:cs="宋体"/>
                <w:sz w:val="24"/>
                <w:szCs w:val="24"/>
                <w:vertAlign w:val="baseline"/>
              </w:rPr>
              <w:t>）零配件储备供应；（</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rPr>
              <w:t>）保修期外维修方案</w:t>
            </w:r>
          </w:p>
        </w:tc>
      </w:tr>
      <w:tr w14:paraId="4226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50" w:type="dxa"/>
            <w:vMerge w:val="continue"/>
            <w:vAlign w:val="center"/>
          </w:tcPr>
          <w:p w14:paraId="6DA7BCE4">
            <w:pPr>
              <w:jc w:val="center"/>
              <w:rPr>
                <w:rFonts w:hint="eastAsia" w:ascii="宋体" w:hAnsi="宋体" w:eastAsia="宋体" w:cs="宋体"/>
                <w:sz w:val="24"/>
                <w:szCs w:val="24"/>
                <w:vertAlign w:val="baseline"/>
              </w:rPr>
            </w:pPr>
          </w:p>
        </w:tc>
        <w:tc>
          <w:tcPr>
            <w:tcW w:w="830" w:type="dxa"/>
            <w:vMerge w:val="continue"/>
            <w:vAlign w:val="center"/>
          </w:tcPr>
          <w:p w14:paraId="43FC96AE">
            <w:pPr>
              <w:jc w:val="center"/>
              <w:rPr>
                <w:rFonts w:hint="eastAsia" w:ascii="宋体" w:hAnsi="宋体" w:eastAsia="宋体" w:cs="宋体"/>
                <w:sz w:val="24"/>
                <w:szCs w:val="24"/>
                <w:vertAlign w:val="baseline"/>
                <w:lang w:val="en-US" w:eastAsia="zh-CN"/>
              </w:rPr>
            </w:pPr>
          </w:p>
        </w:tc>
        <w:tc>
          <w:tcPr>
            <w:tcW w:w="1280" w:type="dxa"/>
            <w:vMerge w:val="continue"/>
            <w:vAlign w:val="center"/>
          </w:tcPr>
          <w:p w14:paraId="2E24F018">
            <w:pPr>
              <w:jc w:val="center"/>
              <w:rPr>
                <w:rFonts w:hint="eastAsia" w:ascii="宋体" w:hAnsi="宋体" w:eastAsia="宋体" w:cs="宋体"/>
                <w:sz w:val="24"/>
                <w:szCs w:val="24"/>
                <w:vertAlign w:val="baseline"/>
                <w:lang w:val="en-US" w:eastAsia="zh-CN"/>
              </w:rPr>
            </w:pPr>
          </w:p>
        </w:tc>
        <w:tc>
          <w:tcPr>
            <w:tcW w:w="850" w:type="dxa"/>
            <w:vAlign w:val="center"/>
          </w:tcPr>
          <w:p w14:paraId="5425602B">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401" w:type="dxa"/>
            <w:vAlign w:val="center"/>
          </w:tcPr>
          <w:p w14:paraId="628EEC9A">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投标人须明确承诺在项目验收合格后提供的免费质量保证期及售后服务年限。</w:t>
            </w:r>
          </w:p>
          <w:p w14:paraId="0F2E9ED7">
            <w:pPr>
              <w:numPr>
                <w:ilvl w:val="0"/>
                <w:numId w:val="3"/>
              </w:num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承诺年限达到</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年</w:t>
            </w:r>
            <w:r>
              <w:rPr>
                <w:rFonts w:hint="eastAsia" w:ascii="宋体" w:hAnsi="宋体" w:eastAsia="宋体" w:cs="宋体"/>
                <w:sz w:val="24"/>
                <w:szCs w:val="24"/>
                <w:vertAlign w:val="baseline"/>
                <w:lang w:val="en-US" w:eastAsia="zh-CN"/>
              </w:rPr>
              <w:t>及</w:t>
            </w:r>
            <w:r>
              <w:rPr>
                <w:rFonts w:hint="eastAsia" w:ascii="宋体" w:hAnsi="宋体" w:eastAsia="宋体" w:cs="宋体"/>
                <w:sz w:val="24"/>
                <w:szCs w:val="24"/>
                <w:vertAlign w:val="baseline"/>
              </w:rPr>
              <w:t>以上，并提供具有法律效力的承诺函，得</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p>
          <w:p w14:paraId="683BB280">
            <w:pPr>
              <w:numPr>
                <w:ilvl w:val="0"/>
                <w:numId w:val="3"/>
              </w:num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rPr>
              <w:t>承诺年限达到</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w:t>
            </w:r>
            <w:r>
              <w:rPr>
                <w:rFonts w:hint="eastAsia" w:ascii="宋体" w:hAnsi="宋体" w:eastAsia="宋体" w:cs="宋体"/>
                <w:sz w:val="24"/>
                <w:szCs w:val="24"/>
                <w:vertAlign w:val="baseline"/>
                <w:lang w:val="en-US" w:eastAsia="zh-CN"/>
              </w:rPr>
              <w:t>及</w:t>
            </w:r>
            <w:r>
              <w:rPr>
                <w:rFonts w:hint="eastAsia" w:ascii="宋体" w:hAnsi="宋体" w:eastAsia="宋体" w:cs="宋体"/>
                <w:sz w:val="24"/>
                <w:szCs w:val="24"/>
                <w:vertAlign w:val="baseline"/>
              </w:rPr>
              <w:t>以上，并提供具有法律效力的承诺函得</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0777B66B">
            <w:pPr>
              <w:numPr>
                <w:ilvl w:val="0"/>
                <w:numId w:val="3"/>
              </w:numPr>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rPr>
              <w:t>承诺年限少于三年</w:t>
            </w:r>
            <w:r>
              <w:rPr>
                <w:rFonts w:hint="eastAsia" w:ascii="宋体" w:hAnsi="宋体" w:eastAsia="宋体" w:cs="宋体"/>
                <w:sz w:val="24"/>
                <w:szCs w:val="24"/>
                <w:vertAlign w:val="baseline"/>
                <w:lang w:val="en-US" w:eastAsia="zh-CN"/>
              </w:rPr>
              <w:t>或</w:t>
            </w:r>
            <w:r>
              <w:rPr>
                <w:rFonts w:hint="eastAsia" w:ascii="宋体" w:hAnsi="宋体" w:eastAsia="宋体" w:cs="宋体"/>
                <w:sz w:val="24"/>
                <w:szCs w:val="24"/>
                <w:vertAlign w:val="baseline"/>
              </w:rPr>
              <w:t>未作出任何承诺者</w:t>
            </w:r>
            <w:r>
              <w:rPr>
                <w:rFonts w:hint="eastAsia" w:ascii="宋体" w:hAnsi="宋体" w:eastAsia="宋体" w:cs="宋体"/>
                <w:sz w:val="24"/>
                <w:szCs w:val="24"/>
                <w:vertAlign w:val="baseline"/>
                <w:lang w:val="en-US" w:eastAsia="zh-CN"/>
              </w:rPr>
              <w:t>不计分。</w:t>
            </w:r>
          </w:p>
        </w:tc>
        <w:tc>
          <w:tcPr>
            <w:tcW w:w="1444" w:type="dxa"/>
            <w:vAlign w:val="center"/>
          </w:tcPr>
          <w:p w14:paraId="4E141CE7">
            <w:pPr>
              <w:jc w:val="center"/>
              <w:rPr>
                <w:rFonts w:hint="eastAsia" w:ascii="宋体" w:hAnsi="宋体" w:eastAsia="宋体" w:cs="宋体"/>
                <w:sz w:val="24"/>
                <w:szCs w:val="24"/>
                <w:vertAlign w:val="baseline"/>
              </w:rPr>
            </w:pPr>
          </w:p>
        </w:tc>
      </w:tr>
      <w:tr w14:paraId="09F3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055" w:type="dxa"/>
            <w:gridSpan w:val="6"/>
            <w:vAlign w:val="center"/>
          </w:tcPr>
          <w:p w14:paraId="25DBDD45">
            <w:pPr>
              <w:jc w:val="left"/>
              <w:rPr>
                <w:rFonts w:hint="eastAsia"/>
                <w:b/>
                <w:bCs/>
                <w:vertAlign w:val="baseline"/>
                <w:lang w:val="en-US" w:eastAsia="zh-CN"/>
              </w:rPr>
            </w:pPr>
            <w:r>
              <w:rPr>
                <w:rFonts w:hint="eastAsia"/>
                <w:b/>
                <w:bCs/>
                <w:vertAlign w:val="baseline"/>
                <w:lang w:val="en-US" w:eastAsia="zh-CN"/>
              </w:rPr>
              <w:t>说明事项：</w:t>
            </w:r>
          </w:p>
          <w:p w14:paraId="323F9578">
            <w:pPr>
              <w:jc w:val="left"/>
              <w:rPr>
                <w:rFonts w:hint="eastAsia" w:ascii="宋体" w:hAnsi="宋体" w:eastAsia="宋体" w:cs="宋体"/>
                <w:b w:val="0"/>
                <w:bCs w:val="0"/>
                <w:vertAlign w:val="baseline"/>
                <w:lang w:val="en-US" w:eastAsia="zh-CN"/>
              </w:rPr>
            </w:pPr>
            <w:r>
              <w:rPr>
                <w:rFonts w:hint="eastAsia"/>
                <w:b w:val="0"/>
                <w:bCs w:val="0"/>
                <w:vertAlign w:val="baseline"/>
                <w:lang w:val="en-US" w:eastAsia="zh-CN"/>
              </w:rPr>
              <w:t>1.针对附件中带有</w:t>
            </w:r>
            <w:r>
              <w:rPr>
                <w:rFonts w:hint="eastAsia" w:ascii="宋体" w:hAnsi="宋体" w:eastAsia="宋体" w:cs="宋体"/>
                <w:b w:val="0"/>
                <w:bCs w:val="0"/>
                <w:vertAlign w:val="baseline"/>
                <w:lang w:val="en-US" w:eastAsia="zh-CN"/>
              </w:rPr>
              <w:t>★的项目，未达标准的投标文件做废标处理。</w:t>
            </w:r>
          </w:p>
          <w:p w14:paraId="420BE98E">
            <w:pPr>
              <w:numPr>
                <w:ilvl w:val="0"/>
                <w:numId w:val="0"/>
              </w:numPr>
              <w:jc w:val="left"/>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2.带★</w:t>
            </w:r>
            <w:r>
              <w:rPr>
                <w:rFonts w:hint="eastAsia"/>
                <w:b w:val="0"/>
                <w:bCs w:val="0"/>
                <w:vertAlign w:val="baseline"/>
                <w:lang w:val="en-US" w:eastAsia="zh-CN"/>
              </w:rPr>
              <w:t>和</w:t>
            </w:r>
            <w:r>
              <w:rPr>
                <w:rFonts w:hint="eastAsia" w:ascii="宋体" w:hAnsi="宋体" w:eastAsia="宋体" w:cs="宋体"/>
                <w:b w:val="0"/>
                <w:bCs w:val="0"/>
                <w:vertAlign w:val="baseline"/>
                <w:lang w:val="en-US" w:eastAsia="zh-CN"/>
              </w:rPr>
              <w:t>▲参数指标须提供鉴定书、检测证书、产品性能说明书、演示截图等可以作证的材料。</w:t>
            </w:r>
          </w:p>
          <w:p w14:paraId="344A18A1">
            <w:pPr>
              <w:numPr>
                <w:ilvl w:val="0"/>
                <w:numId w:val="0"/>
              </w:numPr>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3.其他参数指标响应情况须提交承诺函。</w:t>
            </w:r>
          </w:p>
          <w:p w14:paraId="01AF6C6B">
            <w:pPr>
              <w:numPr>
                <w:ilvl w:val="0"/>
                <w:numId w:val="0"/>
              </w:numPr>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4.布展设计及制作须提供效果图和创意说明。</w:t>
            </w:r>
          </w:p>
          <w:p w14:paraId="445B2CD0">
            <w:pPr>
              <w:numPr>
                <w:ilvl w:val="0"/>
                <w:numId w:val="0"/>
              </w:numPr>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5.最低投标报价须满足附件得分≧70分。</w:t>
            </w:r>
          </w:p>
        </w:tc>
      </w:tr>
    </w:tbl>
    <w:p w14:paraId="348B9568"/>
    <w:p w14:paraId="2D32B38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69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0D30">
                          <w:pPr>
                            <w:pStyle w:val="2"/>
                            <w:rPr>
                              <w:sz w:val="21"/>
                              <w:szCs w:val="21"/>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4E0D30">
                    <w:pPr>
                      <w:pStyle w:val="2"/>
                      <w:rPr>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34B3"/>
    <w:multiLevelType w:val="singleLevel"/>
    <w:tmpl w:val="915534B3"/>
    <w:lvl w:ilvl="0" w:tentative="0">
      <w:start w:val="2"/>
      <w:numFmt w:val="decimal"/>
      <w:lvlText w:val="%1."/>
      <w:lvlJc w:val="left"/>
      <w:pPr>
        <w:tabs>
          <w:tab w:val="left" w:pos="312"/>
        </w:tabs>
      </w:pPr>
    </w:lvl>
  </w:abstractNum>
  <w:abstractNum w:abstractNumId="1">
    <w:nsid w:val="073357E1"/>
    <w:multiLevelType w:val="singleLevel"/>
    <w:tmpl w:val="073357E1"/>
    <w:lvl w:ilvl="0" w:tentative="0">
      <w:start w:val="1"/>
      <w:numFmt w:val="decimal"/>
      <w:lvlText w:val="%1."/>
      <w:lvlJc w:val="left"/>
      <w:pPr>
        <w:tabs>
          <w:tab w:val="left" w:pos="312"/>
        </w:tabs>
      </w:pPr>
    </w:lvl>
  </w:abstractNum>
  <w:abstractNum w:abstractNumId="2">
    <w:nsid w:val="3E686240"/>
    <w:multiLevelType w:val="singleLevel"/>
    <w:tmpl w:val="3E68624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YTA2ZGFjYzFjNjU0ZjA0NzZlMGZjYjI1MzRjNjEifQ=="/>
  </w:docVars>
  <w:rsids>
    <w:rsidRoot w:val="6C6F7322"/>
    <w:rsid w:val="00F275BC"/>
    <w:rsid w:val="01A8365E"/>
    <w:rsid w:val="0293255D"/>
    <w:rsid w:val="02AD361F"/>
    <w:rsid w:val="02DE0BFE"/>
    <w:rsid w:val="03157416"/>
    <w:rsid w:val="03D472D2"/>
    <w:rsid w:val="048C1F92"/>
    <w:rsid w:val="048E56D2"/>
    <w:rsid w:val="056703FD"/>
    <w:rsid w:val="05734921"/>
    <w:rsid w:val="08382D1A"/>
    <w:rsid w:val="088A216B"/>
    <w:rsid w:val="09047D11"/>
    <w:rsid w:val="0AB25700"/>
    <w:rsid w:val="0D8D29CB"/>
    <w:rsid w:val="0EB354C2"/>
    <w:rsid w:val="0F865A10"/>
    <w:rsid w:val="0F996F65"/>
    <w:rsid w:val="11005262"/>
    <w:rsid w:val="13A17479"/>
    <w:rsid w:val="15227E9D"/>
    <w:rsid w:val="15AC3C0A"/>
    <w:rsid w:val="15E72E94"/>
    <w:rsid w:val="162C2A61"/>
    <w:rsid w:val="16585B40"/>
    <w:rsid w:val="16DC4438"/>
    <w:rsid w:val="17795D6E"/>
    <w:rsid w:val="18B52561"/>
    <w:rsid w:val="1926044D"/>
    <w:rsid w:val="19371A3D"/>
    <w:rsid w:val="19780CE8"/>
    <w:rsid w:val="1B4F0AE9"/>
    <w:rsid w:val="1B73527D"/>
    <w:rsid w:val="1D192221"/>
    <w:rsid w:val="1E71154D"/>
    <w:rsid w:val="1E74728F"/>
    <w:rsid w:val="20DB35F6"/>
    <w:rsid w:val="21E04D26"/>
    <w:rsid w:val="22056B7C"/>
    <w:rsid w:val="24635504"/>
    <w:rsid w:val="24D658DE"/>
    <w:rsid w:val="24E713EA"/>
    <w:rsid w:val="24F53053"/>
    <w:rsid w:val="265954C1"/>
    <w:rsid w:val="26A83981"/>
    <w:rsid w:val="28137B19"/>
    <w:rsid w:val="2A22391C"/>
    <w:rsid w:val="2C1B4679"/>
    <w:rsid w:val="2D5B7F98"/>
    <w:rsid w:val="2EF51D26"/>
    <w:rsid w:val="30E80CA6"/>
    <w:rsid w:val="327F0285"/>
    <w:rsid w:val="32802819"/>
    <w:rsid w:val="34296DCB"/>
    <w:rsid w:val="347B67D8"/>
    <w:rsid w:val="34AF0D0B"/>
    <w:rsid w:val="36A06A70"/>
    <w:rsid w:val="37893954"/>
    <w:rsid w:val="3A6B5A2C"/>
    <w:rsid w:val="3C0E4427"/>
    <w:rsid w:val="3C3E2F5F"/>
    <w:rsid w:val="3D5E4F88"/>
    <w:rsid w:val="3D6F4FCA"/>
    <w:rsid w:val="3F552982"/>
    <w:rsid w:val="3FA3298B"/>
    <w:rsid w:val="407707ED"/>
    <w:rsid w:val="40CE3DFB"/>
    <w:rsid w:val="41D8350E"/>
    <w:rsid w:val="4214206C"/>
    <w:rsid w:val="43B21394"/>
    <w:rsid w:val="4557187D"/>
    <w:rsid w:val="45C75D73"/>
    <w:rsid w:val="47AD4D0A"/>
    <w:rsid w:val="49D81B00"/>
    <w:rsid w:val="4AC622DE"/>
    <w:rsid w:val="4CE37624"/>
    <w:rsid w:val="4D297C3A"/>
    <w:rsid w:val="4DAF7C3F"/>
    <w:rsid w:val="51441F5D"/>
    <w:rsid w:val="520D0115"/>
    <w:rsid w:val="523809FB"/>
    <w:rsid w:val="52C13B4A"/>
    <w:rsid w:val="535E49E2"/>
    <w:rsid w:val="54372316"/>
    <w:rsid w:val="54633683"/>
    <w:rsid w:val="55B73A50"/>
    <w:rsid w:val="56566498"/>
    <w:rsid w:val="5A0E3B19"/>
    <w:rsid w:val="5AC61984"/>
    <w:rsid w:val="5B321A89"/>
    <w:rsid w:val="60462294"/>
    <w:rsid w:val="60CF1B28"/>
    <w:rsid w:val="62E9425F"/>
    <w:rsid w:val="63126915"/>
    <w:rsid w:val="63416365"/>
    <w:rsid w:val="64586C26"/>
    <w:rsid w:val="645F7BB5"/>
    <w:rsid w:val="6704280D"/>
    <w:rsid w:val="686B6B5C"/>
    <w:rsid w:val="68701CD6"/>
    <w:rsid w:val="68955405"/>
    <w:rsid w:val="690802CD"/>
    <w:rsid w:val="6AC87CC0"/>
    <w:rsid w:val="6C106393"/>
    <w:rsid w:val="6C6F7322"/>
    <w:rsid w:val="6F62117D"/>
    <w:rsid w:val="7182557A"/>
    <w:rsid w:val="724539F8"/>
    <w:rsid w:val="725956F5"/>
    <w:rsid w:val="7336272A"/>
    <w:rsid w:val="7386076C"/>
    <w:rsid w:val="76D161A2"/>
    <w:rsid w:val="771D4468"/>
    <w:rsid w:val="77844FC2"/>
    <w:rsid w:val="789B685C"/>
    <w:rsid w:val="78C733B9"/>
    <w:rsid w:val="79660E24"/>
    <w:rsid w:val="7A9928F1"/>
    <w:rsid w:val="7AB27F27"/>
    <w:rsid w:val="7B8237F8"/>
    <w:rsid w:val="7C1C7EBF"/>
    <w:rsid w:val="7DCA5DA3"/>
    <w:rsid w:val="7E7A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2136</Words>
  <Characters>2200</Characters>
  <Lines>0</Lines>
  <Paragraphs>0</Paragraphs>
  <TotalTime>7</TotalTime>
  <ScaleCrop>false</ScaleCrop>
  <LinksUpToDate>false</LinksUpToDate>
  <CharactersWithSpaces>2203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2025-08-30T08:31:00Z</dcterms:created>
  <dc:creator>Fred</dc:creator>
  <cp:lastModifiedBy>1</cp:lastModifiedBy>
  <cp:lastPrinted>2025-10-23T06:08:00Z</cp:lastPrinted>
  <dcterms:modified xsi:type="dcterms:W3CDTF">2025-10-23T08:15:50Z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63C79AE55ECD458A92A6B3C193DD4F90_13</vt:lpwstr>
  </property>
  <property fmtid="{D5CDD505-2E9C-101B-9397-08002B2CF9AE}" pid="4" name="KSOTemplateDocerSaveRecord">
    <vt:lpwstr>eyJoZGlkIjoiMGUyZjA4MDQ5NDhiNzlkN2NiZDljODMyMmUyYzg4ZmMiLCJ1c2VySWQiOiIxNjM1NDgxNDIxIn0=</vt:lpwstr>
  </property>
</Properties>
</file>