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rPr>
      </w:pPr>
      <w:r>
        <w:rPr>
          <w:rFonts w:hint="eastAsia" w:ascii="宋体" w:hAnsi="宋体" w:eastAsia="宋体" w:cs="宋体"/>
          <w:b/>
          <w:sz w:val="36"/>
          <w:szCs w:val="36"/>
        </w:rPr>
        <w:t>“安徽交通职业技术学院城信系牵引变电实训室项目”</w:t>
      </w:r>
    </w:p>
    <w:p>
      <w:pPr>
        <w:jc w:val="center"/>
        <w:rPr>
          <w:rFonts w:hint="eastAsia" w:ascii="宋体" w:hAnsi="宋体" w:eastAsia="宋体" w:cs="宋体"/>
          <w:b/>
          <w:color w:val="FF0000"/>
          <w:sz w:val="21"/>
          <w:szCs w:val="21"/>
        </w:rPr>
      </w:pPr>
      <w:r>
        <w:rPr>
          <w:rFonts w:hint="eastAsia" w:ascii="宋体" w:hAnsi="宋体" w:eastAsia="宋体" w:cs="宋体"/>
          <w:b/>
          <w:sz w:val="36"/>
          <w:szCs w:val="36"/>
        </w:rPr>
        <w:t>标前需求公示</w:t>
      </w:r>
    </w:p>
    <w:p>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（以下需求仅供参考，最终以招标文件为准）</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7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474" w:type="dxa"/>
            <w:noWrap w:val="0"/>
            <w:vAlign w:val="center"/>
          </w:tcPr>
          <w:p>
            <w:pPr>
              <w:spacing w:line="500" w:lineRule="exact"/>
              <w:rPr>
                <w:rFonts w:hint="eastAsia" w:ascii="宋体" w:hAnsi="宋体" w:eastAsia="宋体" w:cs="宋体"/>
                <w:b w:val="0"/>
                <w:bCs w:val="0"/>
                <w:color w:val="auto"/>
                <w:sz w:val="24"/>
                <w:szCs w:val="24"/>
                <w:lang w:eastAsia="zh-CN"/>
              </w:rPr>
            </w:pPr>
            <w:r>
              <w:rPr>
                <w:rFonts w:hint="eastAsia" w:ascii="宋体" w:hAnsi="宋体" w:eastAsia="宋体" w:cs="宋体"/>
                <w:sz w:val="24"/>
                <w:szCs w:val="22"/>
              </w:rPr>
              <w:t>安徽交通职业技术学院城信系牵引变电实训室项目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7474" w:type="dxa"/>
            <w:noWrap w:val="0"/>
            <w:vAlign w:val="center"/>
          </w:tcPr>
          <w:p>
            <w:pPr>
              <w:spacing w:line="500" w:lineRule="exact"/>
              <w:rPr>
                <w:rFonts w:hint="eastAsia" w:ascii="宋体" w:hAnsi="宋体" w:eastAsia="宋体" w:cs="宋体"/>
                <w:b w:val="0"/>
                <w:bCs w:val="0"/>
                <w:color w:val="auto"/>
                <w:sz w:val="24"/>
                <w:szCs w:val="24"/>
                <w:lang w:eastAsia="zh-CN"/>
              </w:rPr>
            </w:pPr>
            <w:r>
              <w:rPr>
                <w:rFonts w:hint="eastAsia" w:ascii="宋体" w:hAnsi="宋体" w:eastAsia="宋体" w:cs="宋体"/>
                <w:sz w:val="24"/>
                <w:szCs w:val="22"/>
              </w:rPr>
              <w:t>院招第2021025号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项目预算</w:t>
            </w:r>
          </w:p>
        </w:tc>
        <w:tc>
          <w:tcPr>
            <w:tcW w:w="7474" w:type="dxa"/>
            <w:noWrap w:val="0"/>
            <w:vAlign w:val="center"/>
          </w:tcPr>
          <w:p>
            <w:pPr>
              <w:spacing w:line="500" w:lineRule="exac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highlight w:val="none"/>
                <w:lang w:val="en-US" w:eastAsia="zh-CN"/>
              </w:rPr>
              <w:t>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7474"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安徽交通职业技术学院城信系牵引变电实训室项目，</w:t>
            </w:r>
            <w:r>
              <w:rPr>
                <w:rFonts w:hint="eastAsia" w:ascii="宋体" w:hAnsi="宋体" w:eastAsia="宋体" w:cs="宋体"/>
                <w:color w:val="auto"/>
                <w:sz w:val="24"/>
                <w:szCs w:val="24"/>
              </w:rPr>
              <w:t>详见</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需求</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资格</w:t>
            </w:r>
          </w:p>
        </w:tc>
        <w:tc>
          <w:tcPr>
            <w:tcW w:w="7474" w:type="dxa"/>
            <w:noWrap w:val="0"/>
            <w:vAlign w:val="center"/>
          </w:tcPr>
          <w:p>
            <w:pPr>
              <w:adjustRightInd w:val="0"/>
              <w:snapToGrid w:val="0"/>
              <w:spacing w:line="336" w:lineRule="auto"/>
              <w:ind w:firstLine="480" w:firstLineChars="200"/>
              <w:rPr>
                <w:rFonts w:ascii="宋体" w:hAnsi="宋体" w:eastAsia="宋体" w:cs="宋体"/>
                <w:sz w:val="24"/>
                <w:szCs w:val="22"/>
              </w:rPr>
            </w:pPr>
            <w:r>
              <w:rPr>
                <w:rFonts w:hint="eastAsia" w:ascii="宋体" w:hAnsi="宋体" w:eastAsia="宋体" w:cs="宋体"/>
                <w:sz w:val="24"/>
                <w:szCs w:val="22"/>
              </w:rPr>
              <w:t>1.满足《中华人民共和国政府采购法》第二十二条规定；</w:t>
            </w:r>
          </w:p>
          <w:p>
            <w:pPr>
              <w:adjustRightInd w:val="0"/>
              <w:snapToGrid w:val="0"/>
              <w:spacing w:line="336" w:lineRule="auto"/>
              <w:ind w:firstLine="480" w:firstLineChars="200"/>
              <w:rPr>
                <w:rFonts w:ascii="宋体" w:hAnsi="宋体"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.落实政府采购政策需满足的资格要求：无；</w:t>
            </w:r>
          </w:p>
          <w:p>
            <w:pPr>
              <w:adjustRightInd w:val="0"/>
              <w:snapToGrid w:val="0"/>
              <w:spacing w:line="336" w:lineRule="auto"/>
              <w:ind w:firstLine="480" w:firstLineChars="200"/>
              <w:rPr>
                <w:rFonts w:ascii="宋体" w:hAnsi="宋体" w:eastAsia="宋体" w:cs="宋体"/>
                <w:sz w:val="24"/>
                <w:szCs w:val="22"/>
              </w:rPr>
            </w:pPr>
            <w:r>
              <w:rPr>
                <w:rFonts w:ascii="宋体" w:hAnsi="宋体" w:eastAsia="宋体" w:cs="宋体"/>
                <w:sz w:val="24"/>
                <w:szCs w:val="22"/>
              </w:rPr>
              <w:t>3</w:t>
            </w:r>
            <w:r>
              <w:rPr>
                <w:rFonts w:hint="eastAsia" w:ascii="宋体" w:hAnsi="宋体" w:eastAsia="宋体" w:cs="宋体"/>
                <w:sz w:val="24"/>
                <w:szCs w:val="22"/>
              </w:rPr>
              <w:t>.本项目的特定资格要求：无；</w:t>
            </w:r>
          </w:p>
          <w:p>
            <w:pPr>
              <w:widowControl/>
              <w:adjustRightInd w:val="0"/>
              <w:snapToGrid w:val="0"/>
              <w:spacing w:line="336" w:lineRule="auto"/>
              <w:ind w:firstLine="480"/>
              <w:jc w:val="left"/>
              <w:rPr>
                <w:rFonts w:ascii="宋体" w:hAnsi="宋体" w:eastAsia="宋体" w:cs="Times New Roman"/>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供应商存在以下不良信用记录情形之一的,不得推荐为中标候选供应商,不得确定为中标供应商：</w:t>
            </w:r>
          </w:p>
          <w:p>
            <w:pPr>
              <w:widowControl/>
              <w:adjustRightInd w:val="0"/>
              <w:snapToGrid w:val="0"/>
              <w:spacing w:line="336" w:lineRule="auto"/>
              <w:ind w:firstLine="480"/>
              <w:jc w:val="left"/>
              <w:rPr>
                <w:rFonts w:ascii="宋体" w:hAnsi="宋体" w:eastAsia="宋体" w:cs="Times New Roman"/>
                <w:kern w:val="0"/>
                <w:sz w:val="24"/>
                <w:szCs w:val="24"/>
              </w:rPr>
            </w:pPr>
            <w:r>
              <w:rPr>
                <w:rFonts w:hint="eastAsia" w:ascii="宋体" w:hAnsi="宋体" w:eastAsia="宋体" w:cs="宋体"/>
                <w:color w:val="000000"/>
                <w:kern w:val="0"/>
                <w:sz w:val="24"/>
                <w:szCs w:val="24"/>
              </w:rPr>
              <w:t>（1）供应商被人民法院列入失信被执行人的；</w:t>
            </w:r>
          </w:p>
          <w:p>
            <w:pPr>
              <w:widowControl/>
              <w:adjustRightInd w:val="0"/>
              <w:snapToGrid w:val="0"/>
              <w:spacing w:line="336" w:lineRule="auto"/>
              <w:ind w:firstLine="480"/>
              <w:jc w:val="left"/>
              <w:rPr>
                <w:rFonts w:ascii="宋体" w:hAnsi="宋体" w:eastAsia="宋体" w:cs="Times New Roman"/>
                <w:kern w:val="0"/>
                <w:sz w:val="24"/>
                <w:szCs w:val="24"/>
              </w:rPr>
            </w:pPr>
            <w:r>
              <w:rPr>
                <w:rFonts w:hint="eastAsia" w:ascii="宋体" w:hAnsi="宋体" w:eastAsia="宋体" w:cs="宋体"/>
                <w:color w:val="000000"/>
                <w:kern w:val="0"/>
                <w:sz w:val="24"/>
                <w:szCs w:val="24"/>
              </w:rPr>
              <w:t>（2）供应商被市场监督管理部门（含工商行政管理部门）列入企业经营异常名录的；</w:t>
            </w:r>
          </w:p>
          <w:p>
            <w:pPr>
              <w:widowControl/>
              <w:adjustRightInd w:val="0"/>
              <w:snapToGrid w:val="0"/>
              <w:spacing w:line="336" w:lineRule="auto"/>
              <w:ind w:firstLine="480"/>
              <w:jc w:val="left"/>
              <w:rPr>
                <w:rFonts w:ascii="宋体" w:hAnsi="宋体" w:eastAsia="宋体" w:cs="Times New Roman"/>
                <w:kern w:val="0"/>
                <w:sz w:val="24"/>
                <w:szCs w:val="24"/>
              </w:rPr>
            </w:pPr>
            <w:r>
              <w:rPr>
                <w:rFonts w:hint="eastAsia" w:ascii="宋体" w:hAnsi="宋体" w:eastAsia="宋体" w:cs="宋体"/>
                <w:color w:val="000000"/>
                <w:kern w:val="0"/>
                <w:sz w:val="24"/>
                <w:szCs w:val="24"/>
              </w:rPr>
              <w:t>（3）供应商被税务部门列入重大税收违法案件当事人名单的；</w:t>
            </w:r>
          </w:p>
          <w:p>
            <w:pPr>
              <w:widowControl/>
              <w:adjustRightInd w:val="0"/>
              <w:snapToGrid w:val="0"/>
              <w:spacing w:line="336" w:lineRule="auto"/>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（4）供应商被政府采购监管部门列入政府采购严重违法失信行为记录名单的。</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pStyle w:val="9"/>
              <w:widowControl w:val="0"/>
              <w:spacing w:before="0" w:beforeAutospacing="0" w:after="0" w:afterAutospacing="0" w:line="360" w:lineRule="auto"/>
              <w:jc w:val="center"/>
              <w:rPr>
                <w:rFonts w:hint="eastAsia" w:ascii="宋体" w:hAnsi="宋体" w:eastAsia="宋体" w:cs="宋体"/>
                <w:color w:val="auto"/>
                <w:sz w:val="24"/>
                <w:szCs w:val="24"/>
              </w:rPr>
            </w:pPr>
            <w:r>
              <w:rPr>
                <w:rFonts w:hint="eastAsia" w:ascii="宋体" w:hAnsi="宋体" w:eastAsia="宋体"/>
                <w:b w:val="0"/>
                <w:color w:val="auto"/>
                <w:sz w:val="24"/>
              </w:rPr>
              <w:t>是否为专门面向中小企业采购</w:t>
            </w:r>
          </w:p>
        </w:tc>
        <w:tc>
          <w:tcPr>
            <w:tcW w:w="7474" w:type="dxa"/>
            <w:noWrap w:val="0"/>
            <w:vAlign w:val="center"/>
          </w:tcPr>
          <w:p>
            <w:pPr>
              <w:pStyle w:val="9"/>
              <w:widowControl w:val="0"/>
              <w:spacing w:before="0" w:beforeAutospacing="0" w:after="0" w:afterAutospacing="0" w:line="360" w:lineRule="auto"/>
              <w:jc w:val="both"/>
              <w:rPr>
                <w:rFonts w:hint="eastAsia" w:ascii="宋体" w:hAnsi="宋体" w:cs="宋体"/>
                <w:b/>
                <w:bCs/>
                <w:color w:val="auto"/>
                <w:sz w:val="24"/>
                <w:szCs w:val="24"/>
                <w:lang w:eastAsia="zh-CN"/>
              </w:rPr>
            </w:pPr>
            <w:r>
              <w:rPr>
                <w:rFonts w:hint="eastAsia" w:ascii="宋体" w:hAnsi="宋体" w:eastAsia="宋体"/>
                <w:b w:val="0"/>
                <w:color w:val="auto"/>
                <w:sz w:val="24"/>
              </w:rPr>
              <w:t xml:space="preserve">□是  </w:t>
            </w:r>
            <w:r>
              <w:rPr>
                <w:rFonts w:hint="eastAsia" w:ascii="宋体" w:hAnsi="宋体" w:eastAsia="宋体"/>
                <w:b w:val="0"/>
                <w:color w:val="auto"/>
                <w:sz w:val="24"/>
              </w:rPr>
              <w:sym w:font="Wingdings 2" w:char="0052"/>
            </w:r>
            <w:r>
              <w:rPr>
                <w:rFonts w:hint="eastAsia" w:ascii="宋体" w:hAnsi="宋体" w:eastAsia="宋体"/>
                <w:b w:val="0"/>
                <w:color w:val="auto"/>
                <w:sz w:val="24"/>
              </w:rPr>
              <w:t>否</w:t>
            </w:r>
            <w:r>
              <w:rPr>
                <w:rFonts w:hint="eastAsia" w:ascii="宋体" w:hAnsi="宋体" w:eastAsia="宋体"/>
                <w:b w:val="0"/>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spacing w:line="360" w:lineRule="auto"/>
              <w:rPr>
                <w:rFonts w:ascii="宋体" w:hAnsi="宋体" w:eastAsia="宋体"/>
                <w:bCs/>
                <w:color w:val="auto"/>
                <w:kern w:val="0"/>
                <w:sz w:val="24"/>
                <w:szCs w:val="28"/>
              </w:rPr>
            </w:pPr>
            <w:r>
              <w:rPr>
                <w:rFonts w:hint="eastAsia" w:ascii="宋体" w:hAnsi="宋体" w:eastAsia="宋体"/>
                <w:bCs/>
                <w:color w:val="auto"/>
                <w:kern w:val="0"/>
                <w:sz w:val="24"/>
                <w:szCs w:val="28"/>
              </w:rPr>
              <w:t>是否允许大中型企业向小微企业分包</w:t>
            </w:r>
          </w:p>
          <w:p>
            <w:pPr>
              <w:pStyle w:val="9"/>
              <w:widowControl w:val="0"/>
              <w:spacing w:before="0" w:beforeAutospacing="0" w:after="0" w:afterAutospacing="0" w:line="360" w:lineRule="auto"/>
              <w:jc w:val="both"/>
              <w:rPr>
                <w:rFonts w:hint="eastAsia" w:ascii="宋体" w:hAnsi="宋体" w:eastAsia="宋体"/>
                <w:b w:val="0"/>
                <w:i/>
                <w:color w:val="auto"/>
                <w:sz w:val="24"/>
              </w:rPr>
            </w:pPr>
            <w:r>
              <w:rPr>
                <w:rFonts w:hint="eastAsia" w:ascii="宋体" w:hAnsi="宋体" w:eastAsia="宋体"/>
                <w:b w:val="0"/>
                <w:i/>
                <w:color w:val="auto"/>
                <w:sz w:val="24"/>
              </w:rPr>
              <w:t>（非专门面向中小企业采购项目及要求获得采购合同的供应商将采购项目中的一定比例分包给中小企业的项目适用）</w:t>
            </w:r>
          </w:p>
        </w:tc>
        <w:tc>
          <w:tcPr>
            <w:tcW w:w="7474" w:type="dxa"/>
            <w:noWrap w:val="0"/>
            <w:vAlign w:val="center"/>
          </w:tcPr>
          <w:p>
            <w:pPr>
              <w:pStyle w:val="9"/>
              <w:widowControl w:val="0"/>
              <w:spacing w:before="0" w:beforeAutospacing="0" w:after="0" w:afterAutospacing="0" w:line="360" w:lineRule="auto"/>
              <w:jc w:val="both"/>
              <w:rPr>
                <w:rFonts w:hint="eastAsia" w:ascii="宋体" w:hAnsi="宋体" w:eastAsia="宋体" w:cs="Times New Roman"/>
                <w:b w:val="0"/>
                <w:bCs w:val="0"/>
                <w:color w:val="auto"/>
                <w:kern w:val="2"/>
                <w:sz w:val="24"/>
                <w:szCs w:val="20"/>
                <w:lang w:val="en-US" w:eastAsia="zh-CN"/>
              </w:rPr>
            </w:pPr>
            <w:r>
              <w:rPr>
                <w:rFonts w:hint="eastAsia" w:ascii="宋体" w:hAnsi="宋体" w:eastAsia="宋体"/>
                <w:b w:val="0"/>
                <w:bCs w:val="0"/>
                <w:color w:val="auto"/>
                <w:sz w:val="24"/>
              </w:rPr>
              <w:t xml:space="preserve">□是  </w:t>
            </w:r>
            <w:r>
              <w:rPr>
                <w:rFonts w:ascii="宋体" w:hAnsi="宋体" w:eastAsia="宋体"/>
                <w:b w:val="0"/>
                <w:bCs w:val="0"/>
                <w:color w:val="auto"/>
                <w:sz w:val="24"/>
                <w:szCs w:val="24"/>
              </w:rPr>
              <w:sym w:font="Wingdings 2" w:char="0052"/>
            </w:r>
            <w:r>
              <w:rPr>
                <w:rFonts w:hint="eastAsia" w:ascii="宋体" w:hAnsi="宋体" w:eastAsia="宋体"/>
                <w:b w:val="0"/>
                <w:bCs w:val="0"/>
                <w:color w:val="auto"/>
                <w:sz w:val="24"/>
              </w:rPr>
              <w:t>否</w:t>
            </w:r>
            <w:r>
              <w:rPr>
                <w:rFonts w:hint="eastAsia" w:ascii="宋体" w:hAnsi="宋体" w:eastAsia="宋体"/>
                <w:b w:val="0"/>
                <w:bCs w:val="0"/>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pStyle w:val="9"/>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报价扣除</w:t>
            </w:r>
          </w:p>
          <w:p>
            <w:pPr>
              <w:pStyle w:val="9"/>
              <w:widowControl w:val="0"/>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b w:val="0"/>
                <w:i/>
                <w:color w:val="auto"/>
                <w:sz w:val="24"/>
              </w:rPr>
              <w:t>（非专门面向中小企业采购项目适用）</w:t>
            </w:r>
          </w:p>
        </w:tc>
        <w:tc>
          <w:tcPr>
            <w:tcW w:w="7474" w:type="dxa"/>
            <w:noWrap w:val="0"/>
            <w:vAlign w:val="center"/>
          </w:tcPr>
          <w:p>
            <w:pPr>
              <w:spacing w:line="360" w:lineRule="auto"/>
              <w:rPr>
                <w:rFonts w:ascii="宋体" w:hAnsi="宋体" w:eastAsia="宋体" w:cs="Times New Roman"/>
                <w:bCs/>
                <w:color w:val="auto"/>
                <w:kern w:val="0"/>
                <w:sz w:val="24"/>
                <w:szCs w:val="28"/>
              </w:rPr>
            </w:pPr>
            <w:r>
              <w:rPr>
                <w:rFonts w:hint="eastAsia" w:ascii="宋体" w:hAnsi="宋体" w:eastAsia="宋体" w:cs="Times New Roman"/>
                <w:bCs/>
                <w:color w:val="auto"/>
                <w:kern w:val="0"/>
                <w:sz w:val="24"/>
                <w:szCs w:val="28"/>
              </w:rPr>
              <w:t>（1）</w:t>
            </w:r>
            <w:r>
              <w:rPr>
                <w:rFonts w:ascii="宋体" w:hAnsi="宋体" w:eastAsia="宋体" w:cs="Times New Roman"/>
                <w:bCs/>
                <w:color w:val="auto"/>
                <w:kern w:val="0"/>
                <w:sz w:val="24"/>
                <w:szCs w:val="28"/>
              </w:rPr>
              <w:t>小型和微型</w:t>
            </w:r>
            <w:r>
              <w:rPr>
                <w:rFonts w:hint="eastAsia" w:ascii="宋体" w:hAnsi="宋体" w:eastAsia="宋体" w:cs="Times New Roman"/>
                <w:bCs/>
                <w:color w:val="auto"/>
                <w:kern w:val="0"/>
                <w:sz w:val="24"/>
                <w:szCs w:val="28"/>
              </w:rPr>
              <w:t>企业价格扣除：</w:t>
            </w:r>
            <w:r>
              <w:rPr>
                <w:rFonts w:hint="eastAsia" w:ascii="宋体" w:hAnsi="宋体" w:cs="Times New Roman"/>
                <w:bCs/>
                <w:color w:val="auto"/>
                <w:kern w:val="0"/>
                <w:sz w:val="24"/>
                <w:szCs w:val="28"/>
                <w:u w:val="single"/>
                <w:lang w:val="en-US" w:eastAsia="zh-CN"/>
              </w:rPr>
              <w:t xml:space="preserve"> </w:t>
            </w:r>
            <w:r>
              <w:rPr>
                <w:rFonts w:hint="eastAsia" w:ascii="宋体" w:hAnsi="宋体" w:eastAsia="宋体" w:cs="Times New Roman"/>
                <w:bCs/>
                <w:color w:val="auto"/>
                <w:kern w:val="0"/>
                <w:sz w:val="24"/>
                <w:szCs w:val="28"/>
                <w:u w:val="single"/>
              </w:rPr>
              <w:t>6</w:t>
            </w:r>
            <w:r>
              <w:rPr>
                <w:rFonts w:hint="eastAsia" w:ascii="宋体" w:hAnsi="宋体" w:cs="Times New Roman"/>
                <w:bCs/>
                <w:color w:val="auto"/>
                <w:kern w:val="0"/>
                <w:sz w:val="24"/>
                <w:szCs w:val="28"/>
                <w:u w:val="single"/>
                <w:lang w:val="en-US" w:eastAsia="zh-CN"/>
              </w:rPr>
              <w:t xml:space="preserve"> </w:t>
            </w:r>
            <w:r>
              <w:rPr>
                <w:rFonts w:ascii="宋体" w:hAnsi="宋体" w:eastAsia="宋体" w:cs="Times New Roman"/>
                <w:bCs/>
                <w:color w:val="auto"/>
                <w:kern w:val="0"/>
                <w:sz w:val="24"/>
                <w:szCs w:val="28"/>
              </w:rPr>
              <w:t>%</w:t>
            </w:r>
            <w:r>
              <w:rPr>
                <w:rFonts w:hint="eastAsia" w:ascii="宋体" w:hAnsi="宋体" w:eastAsia="宋体" w:cs="Times New Roman"/>
                <w:bCs/>
                <w:color w:val="auto"/>
                <w:kern w:val="0"/>
                <w:sz w:val="24"/>
                <w:szCs w:val="28"/>
              </w:rPr>
              <w:t>。</w:t>
            </w:r>
          </w:p>
          <w:p>
            <w:pPr>
              <w:spacing w:line="360" w:lineRule="auto"/>
              <w:rPr>
                <w:rFonts w:ascii="宋体" w:hAnsi="宋体" w:eastAsia="宋体" w:cs="Times New Roman"/>
                <w:bCs/>
                <w:color w:val="auto"/>
                <w:kern w:val="0"/>
                <w:sz w:val="24"/>
                <w:szCs w:val="28"/>
              </w:rPr>
            </w:pPr>
            <w:r>
              <w:rPr>
                <w:rFonts w:hint="eastAsia" w:ascii="宋体" w:hAnsi="宋体" w:eastAsia="宋体" w:cs="Times New Roman"/>
                <w:bCs/>
                <w:color w:val="auto"/>
                <w:kern w:val="0"/>
                <w:sz w:val="24"/>
                <w:szCs w:val="28"/>
              </w:rPr>
              <w:t>（2）监狱企业价格扣除：</w:t>
            </w:r>
            <w:r>
              <w:rPr>
                <w:rFonts w:hint="eastAsia" w:ascii="宋体" w:hAnsi="宋体" w:eastAsia="宋体" w:cs="Times New Roman"/>
                <w:bCs/>
                <w:color w:val="auto"/>
                <w:kern w:val="0"/>
                <w:sz w:val="24"/>
                <w:szCs w:val="28"/>
                <w:u w:val="single"/>
              </w:rPr>
              <w:t>同</w:t>
            </w:r>
            <w:r>
              <w:rPr>
                <w:rFonts w:ascii="宋体" w:hAnsi="宋体" w:eastAsia="宋体" w:cs="Times New Roman"/>
                <w:bCs/>
                <w:color w:val="auto"/>
                <w:kern w:val="0"/>
                <w:sz w:val="24"/>
                <w:szCs w:val="28"/>
                <w:u w:val="single"/>
              </w:rPr>
              <w:t>小型和微型企业</w:t>
            </w:r>
            <w:r>
              <w:rPr>
                <w:rFonts w:hint="eastAsia" w:ascii="宋体" w:hAnsi="宋体" w:eastAsia="宋体" w:cs="Times New Roman"/>
                <w:bCs/>
                <w:color w:val="auto"/>
                <w:kern w:val="0"/>
                <w:sz w:val="24"/>
                <w:szCs w:val="28"/>
              </w:rPr>
              <w:t>。</w:t>
            </w:r>
          </w:p>
          <w:p>
            <w:pPr>
              <w:spacing w:line="360" w:lineRule="auto"/>
              <w:rPr>
                <w:rFonts w:ascii="宋体" w:hAnsi="宋体" w:eastAsia="宋体" w:cs="Times New Roman"/>
                <w:bCs/>
                <w:color w:val="auto"/>
                <w:kern w:val="0"/>
                <w:sz w:val="24"/>
                <w:szCs w:val="28"/>
              </w:rPr>
            </w:pPr>
            <w:r>
              <w:rPr>
                <w:rFonts w:hint="eastAsia" w:ascii="宋体" w:hAnsi="宋体" w:eastAsia="宋体" w:cs="Times New Roman"/>
                <w:bCs/>
                <w:color w:val="auto"/>
                <w:kern w:val="0"/>
                <w:sz w:val="24"/>
                <w:szCs w:val="28"/>
              </w:rPr>
              <w:t>（3）残疾人福利性单位价格扣除：</w:t>
            </w:r>
            <w:r>
              <w:rPr>
                <w:rFonts w:hint="eastAsia" w:ascii="宋体" w:hAnsi="宋体" w:eastAsia="宋体" w:cs="Times New Roman"/>
                <w:bCs/>
                <w:color w:val="auto"/>
                <w:kern w:val="0"/>
                <w:sz w:val="24"/>
                <w:szCs w:val="28"/>
                <w:u w:val="single"/>
              </w:rPr>
              <w:t>同</w:t>
            </w:r>
            <w:r>
              <w:rPr>
                <w:rFonts w:ascii="宋体" w:hAnsi="宋体" w:eastAsia="宋体" w:cs="Times New Roman"/>
                <w:bCs/>
                <w:color w:val="auto"/>
                <w:kern w:val="0"/>
                <w:sz w:val="24"/>
                <w:szCs w:val="28"/>
                <w:u w:val="single"/>
              </w:rPr>
              <w:t>小型和微型企业</w:t>
            </w:r>
            <w:r>
              <w:rPr>
                <w:rFonts w:hint="eastAsia" w:ascii="宋体" w:hAnsi="宋体" w:eastAsia="宋体" w:cs="Times New Roman"/>
                <w:bCs/>
                <w:color w:val="auto"/>
                <w:kern w:val="0"/>
                <w:sz w:val="24"/>
                <w:szCs w:val="28"/>
              </w:rPr>
              <w:t>。</w:t>
            </w:r>
          </w:p>
          <w:p>
            <w:pPr>
              <w:spacing w:line="360" w:lineRule="auto"/>
              <w:rPr>
                <w:rFonts w:ascii="宋体" w:hAnsi="宋体" w:eastAsia="宋体" w:cs="Times New Roman"/>
                <w:bCs/>
                <w:color w:val="auto"/>
                <w:kern w:val="0"/>
                <w:sz w:val="24"/>
                <w:szCs w:val="28"/>
              </w:rPr>
            </w:pPr>
            <w:r>
              <w:rPr>
                <w:rFonts w:hint="eastAsia" w:ascii="宋体" w:hAnsi="宋体" w:eastAsia="宋体" w:cs="Times New Roman"/>
                <w:bCs/>
                <w:color w:val="auto"/>
                <w:kern w:val="0"/>
                <w:sz w:val="24"/>
                <w:szCs w:val="28"/>
              </w:rPr>
              <w:t>（4）符合条件的联合体价格扣除：</w:t>
            </w:r>
            <w:r>
              <w:rPr>
                <w:rFonts w:hint="eastAsia" w:ascii="宋体" w:hAnsi="宋体" w:cs="Times New Roman"/>
                <w:bCs/>
                <w:color w:val="auto"/>
                <w:kern w:val="0"/>
                <w:sz w:val="24"/>
                <w:szCs w:val="28"/>
                <w:u w:val="single"/>
                <w:lang w:val="en-US" w:eastAsia="zh-CN"/>
              </w:rPr>
              <w:t xml:space="preserve"> / </w:t>
            </w:r>
            <w:r>
              <w:rPr>
                <w:rFonts w:ascii="宋体" w:hAnsi="宋体" w:eastAsia="宋体" w:cs="Times New Roman"/>
                <w:bCs/>
                <w:color w:val="auto"/>
                <w:kern w:val="0"/>
                <w:sz w:val="24"/>
                <w:szCs w:val="28"/>
              </w:rPr>
              <w:t>%</w:t>
            </w:r>
            <w:r>
              <w:rPr>
                <w:rFonts w:hint="eastAsia" w:ascii="宋体" w:hAnsi="宋体" w:eastAsia="宋体" w:cs="Times New Roman"/>
                <w:bCs/>
                <w:color w:val="auto"/>
                <w:kern w:val="0"/>
                <w:sz w:val="24"/>
                <w:szCs w:val="28"/>
              </w:rPr>
              <w:t>。</w:t>
            </w:r>
          </w:p>
          <w:p>
            <w:pPr>
              <w:pStyle w:val="9"/>
              <w:widowControl w:val="0"/>
              <w:spacing w:before="0" w:beforeAutospacing="0" w:after="0" w:afterAutospacing="0" w:line="360" w:lineRule="auto"/>
              <w:jc w:val="both"/>
              <w:rPr>
                <w:rFonts w:hint="eastAsia" w:ascii="宋体" w:hAnsi="宋体" w:cs="宋体"/>
                <w:b/>
                <w:bCs/>
                <w:color w:val="auto"/>
                <w:sz w:val="24"/>
                <w:szCs w:val="24"/>
                <w:lang w:eastAsia="zh-CN"/>
              </w:rPr>
            </w:pPr>
            <w:r>
              <w:rPr>
                <w:rFonts w:hint="eastAsia" w:ascii="宋体" w:hAnsi="宋体" w:eastAsia="宋体" w:cs="Times New Roman"/>
                <w:b w:val="0"/>
                <w:bCs w:val="0"/>
                <w:color w:val="auto"/>
                <w:kern w:val="2"/>
                <w:sz w:val="24"/>
                <w:szCs w:val="20"/>
              </w:rPr>
              <w:t>（5）符合条件的向小微企业分包的大中型企业价格扣除：</w:t>
            </w:r>
            <w:r>
              <w:rPr>
                <w:rFonts w:hint="eastAsia" w:ascii="宋体" w:hAnsi="宋体" w:cs="Times New Roman"/>
                <w:bCs/>
                <w:color w:val="auto"/>
                <w:kern w:val="0"/>
                <w:sz w:val="24"/>
                <w:szCs w:val="28"/>
                <w:u w:val="single"/>
                <w:lang w:val="en-US" w:eastAsia="zh-CN"/>
              </w:rPr>
              <w:t xml:space="preserve"> </w:t>
            </w:r>
            <w:r>
              <w:rPr>
                <w:rFonts w:hint="eastAsia" w:ascii="宋体" w:hAnsi="宋体" w:cs="Times New Roman"/>
                <w:b w:val="0"/>
                <w:bCs w:val="0"/>
                <w:color w:val="auto"/>
                <w:kern w:val="0"/>
                <w:sz w:val="24"/>
                <w:szCs w:val="28"/>
                <w:u w:val="single"/>
                <w:lang w:val="en-US" w:eastAsia="zh-CN"/>
              </w:rPr>
              <w:t>/</w:t>
            </w:r>
            <w:r>
              <w:rPr>
                <w:rFonts w:hint="eastAsia" w:ascii="宋体" w:hAnsi="宋体" w:cs="Times New Roman"/>
                <w:bCs/>
                <w:color w:val="auto"/>
                <w:kern w:val="0"/>
                <w:sz w:val="24"/>
                <w:szCs w:val="28"/>
                <w:u w:val="single"/>
                <w:lang w:val="en-US" w:eastAsia="zh-CN"/>
              </w:rPr>
              <w:t xml:space="preserve"> </w:t>
            </w:r>
            <w:r>
              <w:rPr>
                <w:rFonts w:ascii="宋体" w:hAnsi="宋体" w:eastAsia="宋体" w:cs="Times New Roman"/>
                <w:b w:val="0"/>
                <w:bCs w:val="0"/>
                <w:color w:val="auto"/>
                <w:kern w:val="2"/>
                <w:sz w:val="24"/>
                <w:szCs w:val="20"/>
              </w:rPr>
              <w:t>%</w:t>
            </w:r>
            <w:r>
              <w:rPr>
                <w:rFonts w:hint="eastAsia" w:ascii="宋体" w:hAnsi="宋体" w:eastAsia="宋体" w:cs="Times New Roman"/>
                <w:b w:val="0"/>
                <w:bCs w:val="0"/>
                <w:color w:val="auto"/>
                <w:kern w:val="2"/>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pStyle w:val="9"/>
              <w:widowControl w:val="0"/>
              <w:spacing w:before="0" w:beforeAutospacing="0" w:after="0" w:afterAutospacing="0" w:line="360" w:lineRule="auto"/>
              <w:jc w:val="both"/>
              <w:rPr>
                <w:rFonts w:hint="eastAsia" w:ascii="宋体" w:hAnsi="宋体" w:eastAsia="宋体" w:cs="宋体"/>
                <w:color w:val="auto"/>
                <w:sz w:val="24"/>
                <w:szCs w:val="24"/>
                <w:lang w:eastAsia="zh-CN"/>
              </w:rPr>
            </w:pPr>
            <w:r>
              <w:rPr>
                <w:rFonts w:hint="eastAsia" w:ascii="宋体" w:hAnsi="宋体" w:eastAsia="宋体"/>
                <w:b w:val="0"/>
                <w:color w:val="auto"/>
                <w:sz w:val="24"/>
              </w:rPr>
              <w:t>履约保证金</w:t>
            </w:r>
          </w:p>
        </w:tc>
        <w:tc>
          <w:tcPr>
            <w:tcW w:w="7474" w:type="dxa"/>
            <w:noWrap w:val="0"/>
            <w:vAlign w:val="center"/>
          </w:tcPr>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（1）金额：</w:t>
            </w:r>
          </w:p>
          <w:p>
            <w:pPr>
              <w:pStyle w:val="9"/>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免收</w:t>
            </w:r>
          </w:p>
          <w:p>
            <w:pPr>
              <w:pStyle w:val="9"/>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hint="eastAsia" w:ascii="宋体" w:hAnsi="宋体" w:eastAsia="宋体"/>
                <w:b w:val="0"/>
                <w:sz w:val="24"/>
              </w:rPr>
              <w:t>合同价的</w:t>
            </w:r>
            <w:r>
              <w:rPr>
                <w:rFonts w:hint="eastAsia" w:ascii="宋体" w:hAnsi="宋体" w:eastAsia="宋体"/>
                <w:b w:val="0"/>
                <w:sz w:val="24"/>
                <w:u w:val="single"/>
              </w:rPr>
              <w:t>3</w:t>
            </w:r>
            <w:r>
              <w:rPr>
                <w:rFonts w:ascii="宋体" w:hAnsi="宋体" w:eastAsia="宋体"/>
                <w:b w:val="0"/>
                <w:sz w:val="24"/>
              </w:rPr>
              <w:t>%</w:t>
            </w:r>
          </w:p>
          <w:p>
            <w:pPr>
              <w:pStyle w:val="9"/>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定额收取：人民币</w:t>
            </w:r>
            <w:r>
              <w:rPr>
                <w:rFonts w:hint="eastAsia" w:ascii="宋体" w:hAnsi="宋体" w:eastAsia="宋体"/>
                <w:b w:val="0"/>
                <w:sz w:val="24"/>
                <w:u w:val="single"/>
              </w:rPr>
              <w:t xml:space="preserve">       /       </w:t>
            </w:r>
            <w:r>
              <w:rPr>
                <w:rFonts w:hint="eastAsia" w:ascii="宋体" w:hAnsi="宋体" w:eastAsia="宋体"/>
                <w:b w:val="0"/>
                <w:sz w:val="24"/>
              </w:rPr>
              <w:t>元</w:t>
            </w:r>
          </w:p>
          <w:p>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2" w:char="0052"/>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2" w:char="0052"/>
            </w:r>
            <w:r>
              <w:rPr>
                <w:rFonts w:ascii="宋体" w:hAnsi="宋体" w:eastAsia="宋体"/>
                <w:bCs/>
                <w:kern w:val="0"/>
                <w:sz w:val="24"/>
                <w:szCs w:val="28"/>
              </w:rPr>
              <w:t xml:space="preserve">支票 </w:t>
            </w:r>
            <w:r>
              <w:rPr>
                <w:rFonts w:hint="eastAsia" w:ascii="宋体" w:hAnsi="宋体" w:eastAsia="宋体"/>
                <w:bCs/>
                <w:kern w:val="0"/>
                <w:sz w:val="24"/>
                <w:szCs w:val="28"/>
              </w:rPr>
              <w:sym w:font="Wingdings 2" w:char="0052"/>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2" w:char="0052"/>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2" w:char="0052"/>
            </w:r>
            <w:r>
              <w:rPr>
                <w:rFonts w:hint="eastAsia" w:ascii="宋体" w:hAnsi="宋体" w:eastAsia="宋体"/>
                <w:bCs/>
                <w:kern w:val="0"/>
                <w:sz w:val="24"/>
                <w:szCs w:val="28"/>
              </w:rPr>
              <w:t>保</w:t>
            </w:r>
            <w:r>
              <w:rPr>
                <w:rFonts w:ascii="宋体" w:hAnsi="宋体" w:eastAsia="宋体"/>
                <w:bCs/>
                <w:kern w:val="0"/>
                <w:sz w:val="24"/>
                <w:szCs w:val="28"/>
              </w:rPr>
              <w:t>函</w:t>
            </w:r>
          </w:p>
          <w:p>
            <w:pPr>
              <w:spacing w:line="360" w:lineRule="auto"/>
              <w:rPr>
                <w:rFonts w:ascii="宋体" w:hAnsi="宋体" w:eastAsia="宋体"/>
                <w:bCs/>
                <w:kern w:val="0"/>
                <w:sz w:val="24"/>
                <w:szCs w:val="28"/>
              </w:rPr>
            </w:pPr>
            <w:r>
              <w:rPr>
                <w:rFonts w:hint="eastAsia" w:ascii="宋体" w:hAnsi="宋体" w:eastAsia="宋体"/>
                <w:bCs/>
                <w:kern w:val="0"/>
                <w:sz w:val="24"/>
                <w:szCs w:val="28"/>
              </w:rPr>
              <w:t>1.如采用金融机构出具的保函（银行保函），应为银行出具的见索即付无条件保函。</w:t>
            </w:r>
          </w:p>
          <w:p>
            <w:pPr>
              <w:spacing w:line="360" w:lineRule="auto"/>
              <w:rPr>
                <w:rFonts w:ascii="宋体" w:hAnsi="宋体" w:eastAsia="宋体"/>
                <w:bCs/>
                <w:kern w:val="0"/>
                <w:sz w:val="24"/>
                <w:szCs w:val="28"/>
              </w:rPr>
            </w:pPr>
            <w:r>
              <w:rPr>
                <w:rFonts w:hint="eastAsia" w:ascii="宋体" w:hAnsi="宋体" w:eastAsia="宋体"/>
                <w:bCs/>
                <w:kern w:val="0"/>
                <w:sz w:val="24"/>
                <w:szCs w:val="28"/>
              </w:rPr>
              <w:t>2.如采用担保机构出具的保函（担保机构担保），应为经安徽省地方金融监督管理局审查批准，依法取得融资担保业务经营许可证的融资担保机构出具的无条件保函。</w:t>
            </w:r>
          </w:p>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（3）收取单位：安徽交通职业技术学院</w:t>
            </w:r>
          </w:p>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（4）缴纳时间：</w:t>
            </w:r>
            <w:r>
              <w:rPr>
                <w:rFonts w:ascii="宋体" w:hAnsi="宋体" w:eastAsia="宋体"/>
                <w:b w:val="0"/>
                <w:sz w:val="24"/>
              </w:rPr>
              <w:t xml:space="preserve">合同签订前   </w:t>
            </w:r>
          </w:p>
          <w:p>
            <w:pPr>
              <w:pStyle w:val="9"/>
              <w:widowControl w:val="0"/>
              <w:spacing w:before="0" w:beforeAutospacing="0" w:after="0" w:afterAutospacing="0" w:line="360" w:lineRule="auto"/>
              <w:jc w:val="both"/>
              <w:rPr>
                <w:rFonts w:hint="eastAsia" w:ascii="宋体" w:hAnsi="宋体" w:cs="宋体"/>
                <w:b/>
                <w:bCs/>
                <w:color w:val="auto"/>
                <w:sz w:val="24"/>
                <w:szCs w:val="24"/>
                <w:lang w:eastAsia="zh-CN"/>
              </w:rPr>
            </w:pPr>
            <w:r>
              <w:rPr>
                <w:rFonts w:hint="eastAsia" w:ascii="宋体" w:hAnsi="宋体" w:eastAsia="宋体"/>
                <w:b w:val="0"/>
                <w:sz w:val="24"/>
              </w:rPr>
              <w:t>（5）退还时间：供货安装完成且验收合格后，待质保期（</w:t>
            </w:r>
            <w:r>
              <w:rPr>
                <w:rFonts w:hint="eastAsia" w:ascii="宋体" w:hAnsi="宋体" w:eastAsia="宋体"/>
                <w:b w:val="0"/>
                <w:sz w:val="24"/>
                <w:highlight w:val="none"/>
              </w:rPr>
              <w:t>三年</w:t>
            </w:r>
            <w:r>
              <w:rPr>
                <w:rFonts w:hint="eastAsia" w:ascii="宋体" w:hAnsi="宋体" w:eastAsia="宋体"/>
                <w:b w:val="0"/>
                <w:sz w:val="24"/>
              </w:rPr>
              <w:t>）满后一次性无息退还。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评标方法</w:t>
            </w:r>
          </w:p>
        </w:tc>
        <w:tc>
          <w:tcPr>
            <w:tcW w:w="7474" w:type="dxa"/>
            <w:noWrap w:val="0"/>
            <w:vAlign w:val="center"/>
          </w:tcPr>
          <w:p>
            <w:pPr>
              <w:spacing w:line="500" w:lineRule="exact"/>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标前公示反馈截止时间</w:t>
            </w:r>
          </w:p>
        </w:tc>
        <w:tc>
          <w:tcPr>
            <w:tcW w:w="7474" w:type="dxa"/>
            <w:noWrap w:val="0"/>
            <w:vAlign w:val="center"/>
          </w:tcPr>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20</w:t>
            </w:r>
            <w:r>
              <w:rPr>
                <w:rFonts w:hint="eastAsia" w:ascii="宋体" w:hAnsi="宋体" w:cs="宋体"/>
                <w:b/>
                <w:color w:val="auto"/>
                <w:sz w:val="24"/>
                <w:szCs w:val="24"/>
                <w:lang w:val="en-US" w:eastAsia="zh-CN"/>
              </w:rPr>
              <w:t>21</w:t>
            </w:r>
            <w:r>
              <w:rPr>
                <w:rFonts w:hint="eastAsia" w:ascii="宋体" w:hAnsi="宋体" w:eastAsia="宋体" w:cs="宋体"/>
                <w:b/>
                <w:color w:val="auto"/>
                <w:sz w:val="24"/>
                <w:szCs w:val="24"/>
              </w:rPr>
              <w:t>年</w:t>
            </w:r>
            <w:r>
              <w:rPr>
                <w:rFonts w:hint="eastAsia" w:ascii="宋体" w:hAnsi="宋体" w:cs="宋体"/>
                <w:b/>
                <w:color w:val="auto"/>
                <w:sz w:val="24"/>
                <w:szCs w:val="24"/>
                <w:lang w:val="en-US" w:eastAsia="zh-CN"/>
              </w:rPr>
              <w:t>9</w:t>
            </w:r>
            <w:r>
              <w:rPr>
                <w:rFonts w:hint="eastAsia" w:ascii="宋体" w:hAnsi="宋体" w:eastAsia="宋体" w:cs="宋体"/>
                <w:b/>
                <w:color w:val="auto"/>
                <w:sz w:val="24"/>
                <w:szCs w:val="24"/>
              </w:rPr>
              <w:t>月</w:t>
            </w:r>
            <w:r>
              <w:rPr>
                <w:rFonts w:hint="eastAsia" w:ascii="宋体" w:hAnsi="宋体" w:cs="宋体"/>
                <w:b/>
                <w:color w:val="auto"/>
                <w:sz w:val="24"/>
                <w:szCs w:val="24"/>
                <w:lang w:val="en-US" w:eastAsia="zh-CN"/>
              </w:rPr>
              <w:t>26</w:t>
            </w:r>
            <w:r>
              <w:rPr>
                <w:rFonts w:hint="eastAsia" w:ascii="宋体" w:hAnsi="宋体" w:eastAsia="宋体" w:cs="宋体"/>
                <w:b/>
                <w:color w:val="auto"/>
                <w:sz w:val="24"/>
                <w:szCs w:val="24"/>
              </w:rPr>
              <w:t>日17:</w:t>
            </w:r>
            <w:r>
              <w:rPr>
                <w:rFonts w:hint="eastAsia" w:ascii="宋体" w:hAnsi="宋体" w:cs="宋体"/>
                <w:b/>
                <w:color w:val="auto"/>
                <w:sz w:val="24"/>
                <w:szCs w:val="24"/>
                <w:lang w:val="en-US" w:eastAsia="zh-CN"/>
              </w:rPr>
              <w:t>00</w:t>
            </w:r>
            <w:r>
              <w:rPr>
                <w:rFonts w:hint="eastAsia" w:ascii="宋体" w:hAnsi="宋体" w:eastAsia="宋体" w:cs="宋体"/>
                <w:b/>
                <w:color w:val="auto"/>
                <w:sz w:val="24"/>
                <w:szCs w:val="24"/>
              </w:rPr>
              <w:t>前（超过规定时间的视同放弃）</w:t>
            </w:r>
          </w:p>
        </w:tc>
      </w:tr>
    </w:tbl>
    <w:p>
      <w:pPr>
        <w:rPr>
          <w:rFonts w:hint="eastAsia" w:ascii="宋体" w:hAnsi="宋体" w:eastAsia="宋体"/>
          <w:b/>
          <w:sz w:val="28"/>
        </w:rPr>
      </w:pPr>
      <w:r>
        <w:rPr>
          <w:rFonts w:hint="eastAsia" w:ascii="宋体" w:hAnsi="宋体" w:eastAsia="宋体"/>
          <w:b/>
          <w:sz w:val="28"/>
        </w:rPr>
        <w:br w:type="page"/>
      </w:r>
    </w:p>
    <w:p>
      <w:pPr>
        <w:spacing w:line="360" w:lineRule="auto"/>
        <w:jc w:val="center"/>
        <w:outlineLvl w:val="1"/>
        <w:rPr>
          <w:rFonts w:ascii="宋体" w:hAnsi="宋体" w:eastAsia="宋体"/>
          <w:b/>
          <w:sz w:val="28"/>
        </w:rPr>
      </w:pPr>
      <w:r>
        <w:rPr>
          <w:rFonts w:hint="eastAsia" w:ascii="宋体" w:hAnsi="宋体" w:eastAsia="宋体"/>
          <w:b/>
          <w:sz w:val="28"/>
        </w:rPr>
        <w:t>采购需求</w:t>
      </w:r>
    </w:p>
    <w:p>
      <w:pPr>
        <w:spacing w:line="360" w:lineRule="auto"/>
        <w:rPr>
          <w:rFonts w:ascii="宋体" w:hAnsi="宋体" w:eastAsia="宋体"/>
          <w:b/>
          <w:sz w:val="24"/>
        </w:rPr>
      </w:pPr>
      <w:r>
        <w:rPr>
          <w:rFonts w:hint="eastAsia" w:ascii="宋体" w:hAnsi="宋体" w:eastAsia="宋体"/>
          <w:b/>
          <w:sz w:val="24"/>
        </w:rPr>
        <w:t>前注：</w:t>
      </w:r>
    </w:p>
    <w:p>
      <w:pPr>
        <w:spacing w:line="360" w:lineRule="auto"/>
        <w:ind w:firstLine="435"/>
        <w:rPr>
          <w:rFonts w:ascii="宋体" w:hAnsi="宋体" w:eastAsia="宋体"/>
          <w:sz w:val="24"/>
          <w:szCs w:val="18"/>
        </w:rPr>
      </w:pPr>
      <w:r>
        <w:rPr>
          <w:rFonts w:hint="eastAsia" w:ascii="宋体" w:hAnsi="宋体" w:eastAsia="宋体"/>
          <w:sz w:val="24"/>
        </w:rPr>
        <w:t>1.</w:t>
      </w:r>
      <w:r>
        <w:rPr>
          <w:rFonts w:ascii="宋体" w:hAnsi="宋体" w:eastAsia="宋体"/>
          <w:sz w:val="24"/>
          <w:szCs w:val="18"/>
        </w:rPr>
        <w:t>根据《关于规范政府采购进口产品有关工作的通知》及政府采购管理部门的相关规定，下列采购需求中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pPr>
        <w:spacing w:line="360" w:lineRule="auto"/>
        <w:ind w:firstLine="435"/>
        <w:rPr>
          <w:rFonts w:ascii="宋体" w:hAnsi="宋体" w:eastAsia="宋体"/>
          <w:sz w:val="24"/>
          <w:szCs w:val="18"/>
        </w:rPr>
      </w:pPr>
      <w:r>
        <w:rPr>
          <w:rFonts w:hint="eastAsia" w:ascii="宋体" w:hAnsi="宋体" w:eastAsia="宋体"/>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宋体" w:hAnsi="宋体" w:eastAsia="宋体"/>
          <w:sz w:val="24"/>
          <w:szCs w:val="18"/>
        </w:rPr>
      </w:pPr>
      <w:r>
        <w:rPr>
          <w:rFonts w:hint="eastAsia" w:ascii="宋体" w:hAnsi="宋体" w:eastAsia="宋体"/>
          <w:sz w:val="24"/>
          <w:szCs w:val="18"/>
          <w:highlight w:val="none"/>
        </w:rPr>
        <w:t>3.</w:t>
      </w:r>
      <w:r>
        <w:rPr>
          <w:rFonts w:ascii="宋体" w:hAnsi="宋体" w:eastAsia="宋体"/>
          <w:sz w:val="24"/>
          <w:szCs w:val="18"/>
          <w:highlight w:val="none"/>
        </w:rPr>
        <w:t>下列采购需求中：标注▲的产品</w:t>
      </w:r>
      <w:r>
        <w:rPr>
          <w:rFonts w:hint="eastAsia" w:ascii="宋体" w:hAnsi="宋体" w:eastAsia="宋体"/>
          <w:sz w:val="24"/>
          <w:szCs w:val="18"/>
          <w:highlight w:val="none"/>
        </w:rPr>
        <w:t>（核心产品）</w:t>
      </w:r>
      <w:r>
        <w:rPr>
          <w:rFonts w:ascii="宋体" w:hAnsi="宋体" w:eastAsia="宋体"/>
          <w:sz w:val="24"/>
          <w:szCs w:val="18"/>
          <w:highlight w:val="none"/>
        </w:rPr>
        <w:t>，投标</w:t>
      </w:r>
      <w:r>
        <w:rPr>
          <w:rFonts w:hint="eastAsia" w:ascii="宋体" w:hAnsi="宋体" w:eastAsia="宋体"/>
          <w:sz w:val="24"/>
          <w:szCs w:val="18"/>
          <w:highlight w:val="none"/>
        </w:rPr>
        <w:t>人</w:t>
      </w:r>
      <w:r>
        <w:rPr>
          <w:rFonts w:ascii="宋体" w:hAnsi="宋体" w:eastAsia="宋体"/>
          <w:sz w:val="24"/>
          <w:szCs w:val="18"/>
          <w:highlight w:val="none"/>
        </w:rPr>
        <w:t>在投标文件《主要</w:t>
      </w:r>
      <w:r>
        <w:rPr>
          <w:rFonts w:hint="eastAsia" w:ascii="宋体" w:hAnsi="宋体" w:eastAsia="宋体"/>
          <w:sz w:val="24"/>
          <w:szCs w:val="18"/>
          <w:highlight w:val="none"/>
        </w:rPr>
        <w:t>中标</w:t>
      </w:r>
      <w:r>
        <w:rPr>
          <w:rFonts w:ascii="宋体" w:hAnsi="宋体" w:eastAsia="宋体"/>
          <w:sz w:val="24"/>
          <w:szCs w:val="18"/>
          <w:highlight w:val="none"/>
        </w:rPr>
        <w:t>标的承诺函》中填写名称、</w:t>
      </w:r>
      <w:r>
        <w:rPr>
          <w:rFonts w:hint="eastAsia" w:ascii="宋体" w:hAnsi="宋体" w:eastAsia="宋体"/>
          <w:sz w:val="24"/>
          <w:szCs w:val="18"/>
          <w:highlight w:val="none"/>
        </w:rPr>
        <w:t>品牌、</w:t>
      </w:r>
      <w:r>
        <w:rPr>
          <w:rFonts w:ascii="宋体" w:hAnsi="宋体" w:eastAsia="宋体"/>
          <w:sz w:val="24"/>
          <w:szCs w:val="18"/>
          <w:highlight w:val="none"/>
        </w:rPr>
        <w:t>规格、型号、数量、单价等信息</w:t>
      </w:r>
      <w:r>
        <w:rPr>
          <w:rFonts w:hint="eastAsia" w:ascii="宋体" w:hAnsi="宋体" w:eastAsia="宋体"/>
          <w:sz w:val="24"/>
          <w:szCs w:val="18"/>
          <w:highlight w:val="none"/>
        </w:rPr>
        <w:t>。</w:t>
      </w:r>
    </w:p>
    <w:p>
      <w:pPr>
        <w:spacing w:line="360" w:lineRule="auto"/>
        <w:ind w:firstLine="437"/>
        <w:rPr>
          <w:rFonts w:ascii="宋体" w:hAnsi="宋体" w:eastAsia="宋体"/>
          <w:b/>
          <w:sz w:val="24"/>
          <w:szCs w:val="18"/>
        </w:rPr>
      </w:pPr>
      <w:r>
        <w:rPr>
          <w:rFonts w:hint="eastAsia" w:ascii="宋体" w:hAnsi="宋体" w:eastAsia="宋体"/>
          <w:b/>
          <w:sz w:val="24"/>
          <w:szCs w:val="18"/>
        </w:rPr>
        <w:t>一、采购需求前附表</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32" w:type="dxa"/>
            <w:noWrap w:val="0"/>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483" w:type="dxa"/>
            <w:noWrap w:val="0"/>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none"/>
              </w:rPr>
              <w:t>全部货物供货安装完成并经验收合格后支付合同金额的100%。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t>合同签订生效后</w:t>
            </w:r>
            <w:r>
              <w:rPr>
                <w:rFonts w:hint="eastAsia" w:ascii="宋体" w:hAnsi="宋体" w:eastAsia="宋体"/>
                <w:b w:val="0"/>
                <w:sz w:val="24"/>
                <w:highlight w:val="none"/>
              </w:rPr>
              <w:t>45个日历日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验收合格之日起三年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5</w:t>
            </w:r>
          </w:p>
        </w:tc>
        <w:tc>
          <w:tcPr>
            <w:tcW w:w="2032" w:type="dxa"/>
            <w:noWrap w:val="0"/>
            <w:vAlign w:val="center"/>
          </w:tcPr>
          <w:p>
            <w:pPr>
              <w:pStyle w:val="9"/>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采购标的对应的中小企业划分标准所属行业</w:t>
            </w:r>
          </w:p>
        </w:tc>
        <w:tc>
          <w:tcPr>
            <w:tcW w:w="5483" w:type="dxa"/>
            <w:noWrap w:val="0"/>
            <w:vAlign w:val="center"/>
          </w:tcPr>
          <w:p>
            <w:pPr>
              <w:pStyle w:val="9"/>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详见货物</w:t>
            </w:r>
            <w:r>
              <w:rPr>
                <w:rFonts w:ascii="宋体" w:hAnsi="宋体" w:eastAsia="宋体"/>
                <w:b w:val="0"/>
                <w:sz w:val="24"/>
                <w:highlight w:val="none"/>
              </w:rPr>
              <w:t>需求</w:t>
            </w:r>
          </w:p>
        </w:tc>
      </w:tr>
    </w:tbl>
    <w:p>
      <w:pPr>
        <w:spacing w:line="360" w:lineRule="auto"/>
        <w:ind w:firstLine="437"/>
        <w:rPr>
          <w:rFonts w:ascii="宋体" w:hAnsi="宋体" w:eastAsia="宋体"/>
          <w:b/>
          <w:bCs/>
          <w:sz w:val="24"/>
          <w:szCs w:val="18"/>
        </w:rPr>
      </w:pPr>
      <w:r>
        <w:rPr>
          <w:rFonts w:hint="eastAsia" w:ascii="宋体" w:hAnsi="宋体" w:eastAsia="宋体"/>
          <w:b/>
          <w:bCs/>
          <w:sz w:val="24"/>
          <w:szCs w:val="18"/>
        </w:rPr>
        <w:t>二、货物需求</w:t>
      </w:r>
    </w:p>
    <w:tbl>
      <w:tblPr>
        <w:tblStyle w:val="7"/>
        <w:tblW w:w="10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45"/>
        <w:gridCol w:w="1070"/>
        <w:gridCol w:w="1090"/>
        <w:gridCol w:w="5300"/>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设备名称</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技术参数</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数量</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1</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1/3号主变保护测控屏</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设备以典型的轨道交通牵引变电所保护测控屏柜为基础进行设计。满足学员进行故障分析和排查的功能。主要用于牵引变电所故障排查及处理项目的考核。稳压电源、控制系统。</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1套</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2</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1号馈线保护测控屏</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设备以典型的轨道交通牵引变电所保护测控屏柜为基础进行设计。满足学员进行故障分析和排查的能力。主要用于牵引变电所故障排查及处理项目的考核。</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1面</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3</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馈线保护测控屏</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设备以典型的轨道交通牵引变电所馈线保护测控屏柜为基础进行设计。满足学员进行手动操作、接线配线的功能，综合考核学员的配线工艺素养、工程设计能力。主要用于牵引变电所测控保护回路的配线/安装/调试考核。</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1面</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4</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断路器就地控制箱</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以断路器一次设备为原型进行功能开发，满足学员进行断路器一、二次设备间配线、调试。主要用于牵引变电所测控保护回路的配线/安装/调试考核。</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1面</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5</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电源屏</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为现场设备提供稳定的供电系统</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1面</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6</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综合工况模拟屏</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该设备利用自主研发信号模拟系统对外同时提供多路短路电流、短路电压及其它开关量和非电量的输出，能够满足牵引变电所一次回路故障和二次控制回路故障的模拟。该设备是牵引变电所综合工况接线及验证项目的核心设备。</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1套</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7</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工具柜</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工具柜内配置安全防护工具，手动接线、配线工具以及故障检测使用工具。主要用于牵引变电所故障排查及处理、牵引变电所测控保护回路的配线/安装/调试2个项目的考核。</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1套</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8</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FF0000"/>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学员终端</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FF0000"/>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考生终端由一台高性能计算机、一台显示器和一套办公桌椅构成。终端上部署有故障软件系统，主要用于牵引变电所故障排查及处理、牵引变电所测控保护回路的配线/安装/调试2个项目的考核。</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1套</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9</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裁判员（教员）终端</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裁判员(教员）终端是整个竞赛设备的控制评分系统，主要由一台高性能的计算机、一台显示和一套桌椅组成。主要用于牵引变电所故障排查及处理、牵引变电所测控保护回路的配线/安装/调试2个项目的考核</w:t>
            </w:r>
            <w:r>
              <w:rPr>
                <w:rFonts w:hint="eastAsia" w:ascii="宋体" w:hAnsi="宋体" w:eastAsia="宋体" w:cs="宋体"/>
                <w:color w:val="auto"/>
                <w:kern w:val="2"/>
                <w:sz w:val="21"/>
                <w:szCs w:val="21"/>
                <w:highlight w:val="none"/>
                <w:lang w:val="en-US" w:eastAsia="zh-CN" w:bidi="ar-SA"/>
              </w:rPr>
              <w:t>。★为保证教员在教员系统的集中管理与控制功能可以进行一键开关机，投标人须提供具有自主知识产权的一种开关机控制装置的证明材料。</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1套</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10</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试题库</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试题库由试卷组成；试卷题目涉及各模块考核内容。</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1套</w:t>
            </w:r>
          </w:p>
        </w:tc>
        <w:tc>
          <w:tcPr>
            <w:tcW w:w="6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11</w:t>
            </w:r>
          </w:p>
        </w:tc>
        <w:tc>
          <w:tcPr>
            <w:tcW w:w="1345" w:type="dxa"/>
            <w:vMerge w:val="restart"/>
            <w:noWrap w:val="0"/>
            <w:vAlign w:val="center"/>
          </w:tcPr>
          <w:p>
            <w:pPr>
              <w:widowControl/>
              <w:spacing w:before="120"/>
              <w:jc w:val="left"/>
              <w:textAlignment w:val="center"/>
              <w:rPr>
                <w:rFonts w:ascii="宋体" w:hAnsi="宋体" w:eastAsia="宋体" w:cs="宋体"/>
                <w:color w:val="auto"/>
                <w:szCs w:val="21"/>
                <w:highlight w:val="none"/>
              </w:rPr>
            </w:pPr>
            <w:r>
              <w:rPr>
                <w:rFonts w:hint="eastAsia" w:ascii="宋体" w:hAnsi="宋体" w:eastAsia="宋体" w:cs="宋体"/>
                <w:szCs w:val="21"/>
              </w:rPr>
              <w:t>实训及考核内容</w:t>
            </w:r>
          </w:p>
        </w:tc>
        <w:tc>
          <w:tcPr>
            <w:tcW w:w="1070" w:type="dxa"/>
            <w:vMerge w:val="restart"/>
            <w:noWrap w:val="0"/>
            <w:vAlign w:val="center"/>
          </w:tcPr>
          <w:p>
            <w:pPr>
              <w:widowControl/>
              <w:spacing w:before="120"/>
              <w:jc w:val="left"/>
              <w:textAlignment w:val="center"/>
              <w:rPr>
                <w:rFonts w:ascii="宋体" w:hAnsi="宋体" w:eastAsia="宋体" w:cs="宋体"/>
                <w:color w:val="auto"/>
                <w:szCs w:val="21"/>
                <w:highlight w:val="none"/>
              </w:rPr>
            </w:pPr>
            <w:r>
              <w:rPr>
                <w:rFonts w:hint="eastAsia" w:ascii="宋体" w:hAnsi="宋体" w:eastAsia="宋体" w:cs="宋体"/>
                <w:szCs w:val="21"/>
              </w:rPr>
              <w:t>牵引变电所故障排查及处理</w:t>
            </w:r>
          </w:p>
        </w:tc>
        <w:tc>
          <w:tcPr>
            <w:tcW w:w="1090" w:type="dxa"/>
            <w:noWrap w:val="0"/>
            <w:vAlign w:val="center"/>
          </w:tcPr>
          <w:p>
            <w:pPr>
              <w:widowControl/>
              <w:spacing w:before="120"/>
              <w:jc w:val="left"/>
              <w:textAlignment w:val="center"/>
              <w:rPr>
                <w:rFonts w:ascii="宋体" w:hAnsi="宋体" w:eastAsia="宋体" w:cs="宋体"/>
                <w:color w:val="auto"/>
                <w:szCs w:val="21"/>
                <w:highlight w:val="none"/>
              </w:rPr>
            </w:pPr>
            <w:r>
              <w:rPr>
                <w:rFonts w:hint="eastAsia" w:ascii="宋体" w:hAnsi="宋体" w:eastAsia="宋体" w:cs="宋体"/>
                <w:szCs w:val="21"/>
              </w:rPr>
              <w:t>电量类故障</w:t>
            </w:r>
          </w:p>
        </w:tc>
        <w:tc>
          <w:tcPr>
            <w:tcW w:w="5300" w:type="dxa"/>
            <w:noWrap w:val="0"/>
            <w:vAlign w:val="center"/>
          </w:tcPr>
          <w:p>
            <w:pPr>
              <w:widowControl/>
              <w:numPr>
                <w:ilvl w:val="0"/>
                <w:numId w:val="1"/>
              </w:numPr>
              <w:ind w:left="420" w:hanging="42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轻瓦斯保护</w:t>
            </w:r>
          </w:p>
          <w:p>
            <w:pPr>
              <w:widowControl/>
              <w:numPr>
                <w:ilvl w:val="0"/>
                <w:numId w:val="1"/>
              </w:numPr>
              <w:ind w:left="420" w:hanging="42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温度I段保护</w:t>
            </w:r>
          </w:p>
          <w:p>
            <w:pPr>
              <w:widowControl/>
              <w:numPr>
                <w:ilvl w:val="0"/>
                <w:numId w:val="1"/>
              </w:numPr>
              <w:ind w:left="420" w:hanging="42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温度II段保护动作</w:t>
            </w:r>
          </w:p>
          <w:p>
            <w:pPr>
              <w:widowControl/>
              <w:numPr>
                <w:ilvl w:val="0"/>
                <w:numId w:val="1"/>
              </w:numPr>
              <w:ind w:left="420" w:hanging="42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压力释放保护动作</w:t>
            </w:r>
          </w:p>
          <w:p>
            <w:pPr>
              <w:widowControl/>
              <w:numPr>
                <w:ilvl w:val="0"/>
                <w:numId w:val="1"/>
              </w:numPr>
              <w:ind w:left="420" w:hanging="42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重瓦斯保护动作</w:t>
            </w:r>
          </w:p>
          <w:p>
            <w:pPr>
              <w:widowControl/>
              <w:numPr>
                <w:ilvl w:val="0"/>
                <w:numId w:val="1"/>
              </w:numPr>
              <w:ind w:left="420" w:hanging="42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馈线侧过流保护动作</w:t>
            </w:r>
          </w:p>
          <w:p>
            <w:pPr>
              <w:widowControl/>
              <w:numPr>
                <w:ilvl w:val="0"/>
                <w:numId w:val="1"/>
              </w:numPr>
              <w:ind w:left="420" w:hanging="42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馈线侧速断保护动作</w:t>
            </w:r>
          </w:p>
          <w:p>
            <w:pPr>
              <w:widowControl/>
              <w:numPr>
                <w:ilvl w:val="0"/>
                <w:numId w:val="1"/>
              </w:numPr>
              <w:ind w:left="420" w:hanging="42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主变低压侧过流保护动作</w:t>
            </w:r>
          </w:p>
          <w:p>
            <w:pPr>
              <w:widowControl/>
              <w:numPr>
                <w:ilvl w:val="0"/>
                <w:numId w:val="1"/>
              </w:numPr>
              <w:ind w:left="420" w:hanging="42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主变高压侧过流保护动作</w:t>
            </w:r>
          </w:p>
          <w:p>
            <w:pPr>
              <w:widowControl/>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10、主变高压侧速断保护动作</w:t>
            </w:r>
          </w:p>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11、主变过负荷保护动作</w:t>
            </w:r>
          </w:p>
          <w:p>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★为确保技术可行性、成熟性且满足教学要求，投标人研究开发的</w:t>
            </w:r>
            <w:r>
              <w:rPr>
                <w:rFonts w:hint="eastAsia" w:ascii="宋体" w:hAnsi="宋体" w:eastAsia="宋体" w:cs="宋体"/>
                <w:color w:val="auto"/>
                <w:kern w:val="2"/>
                <w:sz w:val="21"/>
                <w:szCs w:val="21"/>
                <w:highlight w:val="none"/>
                <w:lang w:val="en-US" w:eastAsia="zh-CN" w:bidi="ar"/>
              </w:rPr>
              <w:t>三维数字化虚拟仿真编辑器</w:t>
            </w:r>
            <w:r>
              <w:rPr>
                <w:rFonts w:hint="eastAsia" w:ascii="宋体" w:hAnsi="宋体" w:eastAsia="宋体" w:cs="宋体"/>
                <w:color w:val="auto"/>
                <w:kern w:val="2"/>
                <w:sz w:val="21"/>
                <w:szCs w:val="21"/>
                <w:highlight w:val="none"/>
                <w:lang w:val="en-US" w:eastAsia="zh-CN" w:bidi="ar-SA"/>
              </w:rPr>
              <w:t>须通过行业</w:t>
            </w:r>
            <w:r>
              <w:rPr>
                <w:rFonts w:ascii="宋体" w:hAnsi="宋体" w:eastAsia="宋体" w:cs="宋体"/>
                <w:color w:val="auto"/>
                <w:kern w:val="2"/>
                <w:sz w:val="21"/>
                <w:szCs w:val="21"/>
                <w:highlight w:val="none"/>
                <w:lang w:val="en-US" w:eastAsia="zh-CN" w:bidi="ar-SA"/>
              </w:rPr>
              <w:t>主管部门或</w:t>
            </w:r>
            <w:r>
              <w:rPr>
                <w:rFonts w:hint="eastAsia" w:ascii="宋体" w:hAnsi="宋体" w:eastAsia="宋体" w:cs="宋体"/>
                <w:color w:val="auto"/>
                <w:kern w:val="2"/>
                <w:sz w:val="21"/>
                <w:szCs w:val="21"/>
                <w:highlight w:val="none"/>
                <w:lang w:val="en-US" w:eastAsia="zh-CN" w:bidi="ar-SA"/>
              </w:rPr>
              <w:t>鉴定</w:t>
            </w:r>
            <w:r>
              <w:rPr>
                <w:rFonts w:ascii="宋体" w:hAnsi="宋体" w:eastAsia="宋体" w:cs="宋体"/>
                <w:color w:val="auto"/>
                <w:kern w:val="2"/>
                <w:sz w:val="21"/>
                <w:szCs w:val="21"/>
                <w:highlight w:val="none"/>
                <w:lang w:val="en-US" w:eastAsia="zh-CN" w:bidi="ar-SA"/>
              </w:rPr>
              <w:t>部门</w:t>
            </w:r>
            <w:r>
              <w:rPr>
                <w:rFonts w:hint="eastAsia" w:ascii="宋体" w:hAnsi="宋体" w:eastAsia="宋体" w:cs="宋体"/>
                <w:color w:val="auto"/>
                <w:kern w:val="2"/>
                <w:sz w:val="21"/>
                <w:szCs w:val="21"/>
                <w:highlight w:val="none"/>
                <w:lang w:val="en-US" w:eastAsia="zh-CN" w:bidi="ar-SA"/>
              </w:rPr>
              <w:t>的鉴定并在投标文件中提供证明文件复印件。</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12</w:t>
            </w:r>
          </w:p>
        </w:tc>
        <w:tc>
          <w:tcPr>
            <w:tcW w:w="1345" w:type="dxa"/>
            <w:vMerge w:val="continue"/>
            <w:noWrap w:val="0"/>
            <w:vAlign w:val="center"/>
          </w:tcPr>
          <w:p>
            <w:pPr>
              <w:widowControl/>
              <w:jc w:val="left"/>
              <w:textAlignment w:val="center"/>
              <w:rPr>
                <w:rFonts w:ascii="宋体" w:hAnsi="宋体" w:eastAsia="宋体" w:cs="宋体"/>
                <w:color w:val="auto"/>
                <w:szCs w:val="21"/>
                <w:highlight w:val="none"/>
              </w:rPr>
            </w:pPr>
          </w:p>
        </w:tc>
        <w:tc>
          <w:tcPr>
            <w:tcW w:w="1070" w:type="dxa"/>
            <w:vMerge w:val="continue"/>
            <w:noWrap w:val="0"/>
            <w:vAlign w:val="center"/>
          </w:tcPr>
          <w:p>
            <w:pPr>
              <w:widowControl/>
              <w:jc w:val="left"/>
              <w:textAlignment w:val="center"/>
              <w:rPr>
                <w:rFonts w:ascii="宋体" w:hAnsi="宋体" w:eastAsia="宋体" w:cs="宋体"/>
                <w:color w:val="auto"/>
                <w:szCs w:val="21"/>
                <w:highlight w:val="none"/>
              </w:rPr>
            </w:pPr>
          </w:p>
        </w:tc>
        <w:tc>
          <w:tcPr>
            <w:tcW w:w="1090" w:type="dxa"/>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szCs w:val="21"/>
              </w:rPr>
              <w:t>断线类故障</w:t>
            </w:r>
          </w:p>
        </w:tc>
        <w:tc>
          <w:tcPr>
            <w:tcW w:w="5300" w:type="dxa"/>
            <w:noWrap w:val="0"/>
            <w:vAlign w:val="center"/>
          </w:tcPr>
          <w:p>
            <w:pPr>
              <w:widowControl/>
              <w:ind w:firstLine="482"/>
              <w:jc w:val="left"/>
              <w:textAlignment w:val="center"/>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断路器故障为以下5种类型的故障：</w:t>
            </w:r>
          </w:p>
          <w:p>
            <w:pPr>
              <w:widowControl/>
              <w:numPr>
                <w:ilvl w:val="0"/>
                <w:numId w:val="2"/>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断路器控制回路断线</w:t>
            </w:r>
          </w:p>
          <w:p>
            <w:pPr>
              <w:widowControl/>
              <w:numPr>
                <w:ilvl w:val="0"/>
                <w:numId w:val="2"/>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断路器手合回路断线</w:t>
            </w:r>
          </w:p>
          <w:p>
            <w:pPr>
              <w:widowControl/>
              <w:numPr>
                <w:ilvl w:val="0"/>
                <w:numId w:val="2"/>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断路器手分回路断线</w:t>
            </w:r>
          </w:p>
          <w:p>
            <w:pPr>
              <w:widowControl/>
              <w:numPr>
                <w:ilvl w:val="0"/>
                <w:numId w:val="2"/>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断路器合闸信号灯损坏</w:t>
            </w:r>
          </w:p>
          <w:p>
            <w:pPr>
              <w:widowControl/>
              <w:numPr>
                <w:ilvl w:val="0"/>
                <w:numId w:val="2"/>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断路器分闸信号灯损坏</w:t>
            </w:r>
          </w:p>
          <w:p>
            <w:pPr>
              <w:widowControl/>
              <w:ind w:firstLine="482"/>
              <w:jc w:val="left"/>
              <w:textAlignment w:val="center"/>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 xml:space="preserve">隔离开关故障为以下5种类型的故障： </w:t>
            </w:r>
          </w:p>
          <w:p>
            <w:pPr>
              <w:widowControl/>
              <w:numPr>
                <w:ilvl w:val="0"/>
                <w:numId w:val="3"/>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隔离开关控制回路断线</w:t>
            </w:r>
          </w:p>
          <w:p>
            <w:pPr>
              <w:widowControl/>
              <w:numPr>
                <w:ilvl w:val="0"/>
                <w:numId w:val="3"/>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隔离开关手合回路断线</w:t>
            </w:r>
          </w:p>
          <w:p>
            <w:pPr>
              <w:widowControl/>
              <w:numPr>
                <w:ilvl w:val="0"/>
                <w:numId w:val="3"/>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隔离开关手分回路断线</w:t>
            </w:r>
          </w:p>
          <w:p>
            <w:pPr>
              <w:widowControl/>
              <w:numPr>
                <w:ilvl w:val="0"/>
                <w:numId w:val="3"/>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隔离开关合闸信号灯损坏</w:t>
            </w:r>
          </w:p>
          <w:p>
            <w:pPr>
              <w:widowControl/>
              <w:numPr>
                <w:ilvl w:val="0"/>
                <w:numId w:val="3"/>
              </w:numPr>
              <w:ind w:firstLine="480"/>
              <w:jc w:val="left"/>
              <w:textAlignment w:val="center"/>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隔离开关分闸信号灯损坏</w:t>
            </w:r>
          </w:p>
          <w:p>
            <w:pPr>
              <w:widowControl/>
              <w:jc w:val="center"/>
              <w:textAlignment w:val="center"/>
              <w:rPr>
                <w:rFonts w:ascii="宋体" w:hAnsi="宋体" w:eastAsia="宋体" w:cs="宋体"/>
                <w:color w:val="auto"/>
                <w:szCs w:val="21"/>
                <w:highlight w:val="none"/>
              </w:rPr>
            </w:pP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13</w:t>
            </w:r>
          </w:p>
        </w:tc>
        <w:tc>
          <w:tcPr>
            <w:tcW w:w="1345" w:type="dxa"/>
            <w:vMerge w:val="continue"/>
            <w:noWrap w:val="0"/>
            <w:vAlign w:val="center"/>
          </w:tcPr>
          <w:p>
            <w:pPr>
              <w:widowControl/>
              <w:jc w:val="left"/>
              <w:textAlignment w:val="center"/>
              <w:rPr>
                <w:rFonts w:ascii="宋体" w:hAnsi="宋体" w:eastAsia="宋体" w:cs="宋体"/>
                <w:color w:val="auto"/>
                <w:szCs w:val="21"/>
                <w:highlight w:val="none"/>
              </w:rPr>
            </w:pPr>
          </w:p>
        </w:tc>
        <w:tc>
          <w:tcPr>
            <w:tcW w:w="1070" w:type="dxa"/>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szCs w:val="21"/>
              </w:rPr>
              <w:t>牵引变电所测控保护回路接线考核</w:t>
            </w:r>
          </w:p>
        </w:tc>
        <w:tc>
          <w:tcPr>
            <w:tcW w:w="1090" w:type="dxa"/>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szCs w:val="21"/>
              </w:rPr>
              <w:t>模拟断路器接线</w:t>
            </w:r>
          </w:p>
        </w:tc>
        <w:tc>
          <w:tcPr>
            <w:tcW w:w="5300"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ab/>
            </w:r>
            <w:r>
              <w:rPr>
                <w:rFonts w:hint="eastAsia" w:ascii="宋体" w:hAnsi="宋体" w:eastAsia="宋体" w:cs="宋体"/>
                <w:szCs w:val="21"/>
              </w:rPr>
              <w:t>绘图</w:t>
            </w:r>
          </w:p>
          <w:p>
            <w:pPr>
              <w:widowControl/>
              <w:jc w:val="center"/>
              <w:textAlignment w:val="center"/>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ab/>
            </w:r>
            <w:r>
              <w:rPr>
                <w:rFonts w:hint="eastAsia" w:ascii="宋体" w:hAnsi="宋体" w:eastAsia="宋体" w:cs="宋体"/>
                <w:szCs w:val="21"/>
              </w:rPr>
              <w:t>安装布线工艺</w:t>
            </w:r>
          </w:p>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3、</w:t>
            </w:r>
            <w:r>
              <w:rPr>
                <w:rFonts w:hint="eastAsia" w:ascii="宋体" w:hAnsi="宋体" w:eastAsia="宋体" w:cs="宋体"/>
                <w:szCs w:val="21"/>
              </w:rPr>
              <w:tab/>
            </w:r>
            <w:r>
              <w:rPr>
                <w:rFonts w:hint="eastAsia" w:ascii="宋体" w:hAnsi="宋体" w:eastAsia="宋体" w:cs="宋体"/>
                <w:szCs w:val="21"/>
              </w:rPr>
              <w:t>职业素养</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14</w:t>
            </w:r>
          </w:p>
        </w:tc>
        <w:tc>
          <w:tcPr>
            <w:tcW w:w="2415" w:type="dxa"/>
            <w:gridSpan w:val="2"/>
            <w:noWrap w:val="0"/>
            <w:vAlign w:val="center"/>
          </w:tcPr>
          <w:p>
            <w:pPr>
              <w:widowControl/>
              <w:jc w:val="left"/>
              <w:textAlignment w:val="center"/>
              <w:rPr>
                <w:rFonts w:ascii="宋体" w:hAnsi="宋体" w:eastAsia="宋体" w:cs="宋体"/>
                <w:color w:val="FF0000"/>
                <w:szCs w:val="21"/>
                <w:highlight w:val="none"/>
              </w:rPr>
            </w:pPr>
            <w:r>
              <w:rPr>
                <w:rFonts w:hint="eastAsia" w:ascii="宋体" w:hAnsi="宋体" w:eastAsia="宋体" w:cs="宋体"/>
                <w:szCs w:val="21"/>
              </w:rPr>
              <w:t>故障软件系统</w:t>
            </w:r>
          </w:p>
        </w:tc>
        <w:tc>
          <w:tcPr>
            <w:tcW w:w="6390" w:type="dxa"/>
            <w:gridSpan w:val="2"/>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可以模拟牵引变电所内常见故障，分为电量类故障和断线类故障。学员在规定时间内完成系统触发故障的分析、排查、确定。所有故障的触发随机出现，必须完成前一个故障处置，系统才会自动触发下一个故障。</w:t>
            </w:r>
          </w:p>
          <w:p>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故障软件系统中，模拟对象涵盖：控制室、高压室、检修室、室外等，仿真对象的外观、形状、相对位置、布局与实际一致，所有的操作、发光、发声、报警、显示等仿真设备的功能、内容、动作方式、控制方式、操作方式等属性与实际一致，并且按照实际的逻辑关系实时响应，响应的方式及结果与实际相同，提供第三方检测</w:t>
            </w:r>
            <w:r>
              <w:rPr>
                <w:rFonts w:ascii="宋体" w:hAnsi="宋体" w:eastAsia="宋体" w:cs="宋体"/>
                <w:color w:val="auto"/>
                <w:kern w:val="2"/>
                <w:sz w:val="21"/>
                <w:szCs w:val="21"/>
                <w:highlight w:val="none"/>
                <w:lang w:val="en-US" w:eastAsia="zh-CN" w:bidi="ar-SA"/>
              </w:rPr>
              <w:t>机构出具的</w:t>
            </w:r>
            <w:r>
              <w:rPr>
                <w:rFonts w:hint="eastAsia" w:ascii="宋体" w:hAnsi="宋体" w:eastAsia="宋体" w:cs="宋体"/>
                <w:color w:val="auto"/>
                <w:kern w:val="2"/>
                <w:sz w:val="21"/>
                <w:szCs w:val="21"/>
                <w:highlight w:val="none"/>
                <w:lang w:val="en-US" w:eastAsia="zh-CN" w:bidi="ar-SA"/>
              </w:rPr>
              <w:t>检验报告证明（提供复印件，并标注检验项目所在页）</w:t>
            </w:r>
          </w:p>
          <w:p>
            <w:pPr>
              <w:widowControl/>
              <w:jc w:val="left"/>
              <w:textAlignment w:val="center"/>
              <w:rPr>
                <w:rFonts w:ascii="宋体" w:hAnsi="宋体" w:eastAsia="宋体" w:cs="宋体"/>
                <w:color w:val="FF0000"/>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★为确保技术可行性、成熟性且满足教学要求，投标人研究开发的面向铁路行业的三维GIS虚拟视景路网信息系统平台技术须通过行业</w:t>
            </w:r>
            <w:r>
              <w:rPr>
                <w:rFonts w:ascii="宋体" w:hAnsi="宋体" w:eastAsia="宋体" w:cs="宋体"/>
                <w:color w:val="auto"/>
                <w:kern w:val="2"/>
                <w:sz w:val="21"/>
                <w:szCs w:val="21"/>
                <w:highlight w:val="none"/>
                <w:lang w:val="en-US" w:eastAsia="zh-CN" w:bidi="ar-SA"/>
              </w:rPr>
              <w:t>主管部门或</w:t>
            </w:r>
            <w:r>
              <w:rPr>
                <w:rFonts w:hint="eastAsia" w:ascii="宋体" w:hAnsi="宋体" w:eastAsia="宋体" w:cs="宋体"/>
                <w:color w:val="auto"/>
                <w:kern w:val="2"/>
                <w:sz w:val="21"/>
                <w:szCs w:val="21"/>
                <w:highlight w:val="none"/>
                <w:lang w:val="en-US" w:eastAsia="zh-CN" w:bidi="ar-SA"/>
              </w:rPr>
              <w:t>鉴定</w:t>
            </w:r>
            <w:r>
              <w:rPr>
                <w:rFonts w:ascii="宋体" w:hAnsi="宋体" w:eastAsia="宋体" w:cs="宋体"/>
                <w:color w:val="auto"/>
                <w:kern w:val="2"/>
                <w:sz w:val="21"/>
                <w:szCs w:val="21"/>
                <w:highlight w:val="none"/>
                <w:lang w:val="en-US" w:eastAsia="zh-CN" w:bidi="ar-SA"/>
              </w:rPr>
              <w:t>部门</w:t>
            </w:r>
            <w:r>
              <w:rPr>
                <w:rFonts w:hint="eastAsia" w:ascii="宋体" w:hAnsi="宋体" w:eastAsia="宋体" w:cs="宋体"/>
                <w:color w:val="auto"/>
                <w:kern w:val="2"/>
                <w:sz w:val="21"/>
                <w:szCs w:val="21"/>
                <w:highlight w:val="none"/>
                <w:lang w:val="en-US" w:eastAsia="zh-CN" w:bidi="ar-SA"/>
              </w:rPr>
              <w:t>的鉴定并提供证明文件复印件。</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503" w:type="dxa"/>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15</w:t>
            </w:r>
          </w:p>
        </w:tc>
        <w:tc>
          <w:tcPr>
            <w:tcW w:w="2415" w:type="dxa"/>
            <w:gridSpan w:val="2"/>
            <w:noWrap w:val="0"/>
            <w:vAlign w:val="center"/>
          </w:tcPr>
          <w:p>
            <w:pPr>
              <w:widowControl/>
              <w:jc w:val="center"/>
              <w:textAlignment w:val="center"/>
              <w:rPr>
                <w:rFonts w:ascii="宋体" w:hAnsi="宋体" w:eastAsia="宋体" w:cs="宋体"/>
                <w:color w:val="FF0000"/>
                <w:szCs w:val="21"/>
                <w:highlight w:val="none"/>
              </w:rPr>
            </w:pPr>
            <w:r>
              <w:rPr>
                <w:rFonts w:hint="eastAsia" w:ascii="宋体" w:hAnsi="宋体" w:eastAsia="宋体" w:cs="宋体"/>
                <w:szCs w:val="21"/>
              </w:rPr>
              <w:t>教员考评管理软件系统</w:t>
            </w:r>
          </w:p>
        </w:tc>
        <w:tc>
          <w:tcPr>
            <w:tcW w:w="6390" w:type="dxa"/>
            <w:gridSpan w:val="2"/>
            <w:noWrap w:val="0"/>
            <w:vAlign w:val="center"/>
          </w:tcPr>
          <w:p>
            <w:pPr>
              <w:widowControl/>
              <w:jc w:val="left"/>
              <w:textAlignment w:val="center"/>
              <w:rPr>
                <w:rFonts w:ascii="宋体" w:hAnsi="宋体" w:eastAsia="宋体" w:cs="宋体"/>
                <w:szCs w:val="21"/>
              </w:rPr>
            </w:pPr>
            <w:r>
              <w:rPr>
                <w:rFonts w:hint="eastAsia" w:ascii="宋体" w:hAnsi="宋体" w:eastAsia="宋体" w:cs="宋体"/>
                <w:szCs w:val="21"/>
              </w:rPr>
              <w:t>考评管理软件系统是整个系统的一个重要组成部分，它承担着整套系统的全方位监管、控制和系统维护任务。从设备的运转前准备到实训结束后的数据处理、评价；从实训课程设计到试卷的下发，从基础数据准备到系统状态检测到任务下发等，均通过考评管理系统完成。</w:t>
            </w:r>
          </w:p>
          <w:p>
            <w:pPr>
              <w:widowControl/>
              <w:jc w:val="left"/>
              <w:textAlignment w:val="center"/>
              <w:rPr>
                <w:rFonts w:hint="eastAsia" w:ascii="宋体" w:hAnsi="宋体" w:eastAsia="宋体" w:cs="宋体"/>
                <w:szCs w:val="21"/>
              </w:rPr>
            </w:pPr>
            <w:r>
              <w:rPr>
                <w:rFonts w:hint="eastAsia" w:ascii="宋体" w:hAnsi="宋体" w:eastAsia="宋体" w:cs="宋体"/>
                <w:szCs w:val="21"/>
              </w:rPr>
              <w:t>★教员管理软件能对实训终端进行数据管理、监控管理、试题库管理。提供第三方检测</w:t>
            </w:r>
            <w:r>
              <w:rPr>
                <w:rFonts w:ascii="宋体" w:hAnsi="宋体" w:eastAsia="宋体" w:cs="宋体"/>
                <w:szCs w:val="21"/>
              </w:rPr>
              <w:t>机构出具的</w:t>
            </w:r>
            <w:r>
              <w:rPr>
                <w:rFonts w:hint="eastAsia" w:ascii="宋体" w:hAnsi="宋体" w:eastAsia="宋体" w:cs="宋体"/>
                <w:szCs w:val="21"/>
              </w:rPr>
              <w:t>检验报告证明（提供复印件，并标注检验项目所在页）。</w:t>
            </w:r>
          </w:p>
          <w:p>
            <w:pPr>
              <w:widowControl w:val="0"/>
              <w:jc w:val="both"/>
              <w:rPr>
                <w:rFonts w:ascii="宋体" w:hAnsi="宋体" w:eastAsia="宋体" w:cs="宋体"/>
                <w:color w:val="FF0000"/>
                <w:kern w:val="2"/>
                <w:sz w:val="28"/>
                <w:szCs w:val="21"/>
                <w:highlight w:val="none"/>
                <w:lang w:val="en-US" w:eastAsia="zh-CN" w:bidi="ar-SA"/>
              </w:rPr>
            </w:pPr>
            <w:r>
              <w:rPr>
                <w:rFonts w:hint="eastAsia" w:ascii="宋体" w:hAnsi="宋体" w:eastAsia="宋体" w:cs="宋体"/>
                <w:kern w:val="2"/>
                <w:sz w:val="21"/>
                <w:szCs w:val="21"/>
                <w:highlight w:val="none"/>
                <w:lang w:val="en-US" w:eastAsia="zh-CN" w:bidi="ar-SA"/>
              </w:rPr>
              <w:t>★教员管理软件能对实训终端进行数据管理、监控管理、试题库管理。提供第三方检测</w:t>
            </w:r>
            <w:r>
              <w:rPr>
                <w:rFonts w:ascii="宋体" w:hAnsi="宋体" w:eastAsia="宋体" w:cs="宋体"/>
                <w:kern w:val="2"/>
                <w:sz w:val="21"/>
                <w:szCs w:val="21"/>
                <w:highlight w:val="none"/>
                <w:lang w:val="en-US" w:eastAsia="zh-CN" w:bidi="ar-SA"/>
              </w:rPr>
              <w:t>机构出具的</w:t>
            </w:r>
            <w:r>
              <w:rPr>
                <w:rFonts w:hint="eastAsia" w:ascii="宋体" w:hAnsi="宋体" w:eastAsia="宋体" w:cs="宋体"/>
                <w:kern w:val="2"/>
                <w:sz w:val="21"/>
                <w:szCs w:val="21"/>
                <w:highlight w:val="none"/>
                <w:lang w:val="en-US" w:eastAsia="zh-CN" w:bidi="ar-SA"/>
              </w:rPr>
              <w:t>检验报告证明（提供复印件，并标注检验项目所在页）。</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16</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before="0" w:beforeLines="0" w:after="0" w:afterLines="0" w:line="240" w:lineRule="auto"/>
              <w:ind w:left="0" w:leftChars="0" w:firstLine="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学生使用平台</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before="0" w:beforeLines="0" w:after="0" w:afterLines="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1.基材：采用优质E1级三胺板，台面厚度25，甲醛释放量不超过5mg/100g。</w:t>
            </w:r>
          </w:p>
          <w:p>
            <w:pPr>
              <w:widowControl w:val="0"/>
              <w:snapToGrid w:val="0"/>
              <w:spacing w:before="0" w:beforeLines="0" w:after="0" w:afterLines="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2.台面贴面：选用双贴三聚氰胺浸渍面纸饰面。</w:t>
            </w:r>
          </w:p>
          <w:p>
            <w:pPr>
              <w:widowControl w:val="0"/>
              <w:snapToGrid w:val="0"/>
              <w:spacing w:before="0" w:beforeLines="0" w:after="0" w:afterLines="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3.封边：双色PVC封边、厚度不小于2mm。</w:t>
            </w:r>
          </w:p>
          <w:p>
            <w:pPr>
              <w:widowControl w:val="0"/>
              <w:snapToGrid w:val="0"/>
              <w:spacing w:before="0" w:beforeLines="0" w:after="0" w:afterLines="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4.防腐等工艺处理，表面阿克苏静电粉末喷涂处理，连接配件用铝合金。</w:t>
            </w:r>
          </w:p>
          <w:p>
            <w:pPr>
              <w:widowControl w:val="0"/>
              <w:snapToGrid w:val="0"/>
              <w:spacing w:before="0" w:beforeLines="0" w:after="0" w:afterLines="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5.单张参考尺寸800*400*750可拼接6人位组合。</w:t>
            </w:r>
          </w:p>
          <w:p>
            <w:pPr>
              <w:widowControl w:val="0"/>
              <w:snapToGrid w:val="0"/>
              <w:spacing w:before="0" w:beforeLines="0" w:after="0" w:afterLines="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6.配备6张网状靠背椅子。</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0" w:beforeLines="0" w:after="0" w:afterLines="0" w:line="240" w:lineRule="auto"/>
              <w:ind w:left="0" w:leftChars="0" w:firstLine="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7套</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0" w:beforeLines="0" w:after="0" w:afterLines="0" w:line="240" w:lineRule="auto"/>
              <w:ind w:left="0" w:leftChars="0" w:firstLine="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17</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before="0" w:beforeLines="0" w:after="0" w:afterLines="0" w:line="240" w:lineRule="auto"/>
              <w:ind w:left="0" w:leftChars="0" w:firstLine="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强弱电改造</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before="0" w:beforeLines="0" w:after="0" w:afterLines="0" w:line="240" w:lineRule="auto"/>
              <w:ind w:left="0" w:leftChars="0" w:firstLine="0"/>
              <w:jc w:val="left"/>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面积84平方含路由</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0" w:beforeLines="0" w:after="0" w:afterLines="0" w:line="240" w:lineRule="auto"/>
              <w:ind w:left="0" w:leftChars="0" w:firstLine="0"/>
              <w:jc w:val="left"/>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1批</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0" w:beforeLines="0" w:after="0" w:afterLines="0" w:line="240" w:lineRule="auto"/>
              <w:ind w:left="0" w:leftChars="0" w:firstLine="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18</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center"/>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8"/>
                <w:szCs w:val="27"/>
                <w:highlight w:val="none"/>
                <w:u w:val="none"/>
                <w:lang w:val="en-US" w:eastAsia="zh-CN" w:bidi="ar-SA"/>
              </w:rPr>
              <w:t>▲</w:t>
            </w:r>
            <w:r>
              <w:rPr>
                <w:rFonts w:hint="eastAsia" w:ascii="宋体" w:hAnsi="宋体" w:eastAsia="宋体" w:cs="宋体"/>
                <w:color w:val="auto"/>
                <w:kern w:val="2"/>
                <w:sz w:val="21"/>
                <w:szCs w:val="21"/>
                <w:highlight w:val="none"/>
                <w:u w:val="none"/>
                <w:lang w:val="en-US" w:eastAsia="zh-CN" w:bidi="ar-SA"/>
              </w:rPr>
              <w:t>86寸交互式一体机</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1.整机采用一体设计，外部无任何可见内部功能模块连接线。</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2.整机采用全金属外壳设计，边角采用弧形设计，表面无尖锐边缘或凸起。</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3.屏幕采用86英寸液晶显示器。</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4.整机采用UHD超高清LED 液晶屏，显示比例16:9，分辨率3840*2160。</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5.嵌入式系统版本不低于Android9.0，内存≥2GB，存储空间≥8GB。（投标文件中提供第三方检测机构出具的权威检测报告）</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6.玻璃厚度≤4mm，玻璃表面硬度≥9H。</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7.整机内置 2.1 声道扬声器，前朝向 15W中高音扬声器 2 个，后朝向 20W 低音扬声器 1 个，额定总功率 50W。</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8.支持传屏功能，可以将外部电脑的屏幕画面通过无线方式传输到整机上显示。（投标文件中提供第三方检测机构出具的权威检测报告）</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9.三合一电源按键，同一电源物理按键完成Android系统和Windows系统的开机、节能熄屏、关机操作；关机状态下轻按按键开机；开机状态下轻按按键实现节能熄屏/唤醒，长按按键实现关机。</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10.整机具备至少6个前置按键，实现老师开关机、调出中控菜单、音量+/-、护眼、录屏的操作。</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11.整机具有护眼功能，可通过前置面板物理功能按键一键启用护眼模式。</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12.设备支持通过前置面板物理按键一键启动录屏功能，可将屏幕中显示的课件、音频内容与老师人声同时录制。</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13.支持通道记忆功能，开机默认回到最近一次关机时的显示通道。</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14.整机内置非独立的高清摄像头，可拍摄不低于 800 万像素数的照片，摄像头对角角度≥120度。支持远程巡课应用。</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15.整机内置摄像头（非外扩），PC通道下支持通过视频展台软件调用摄像头进行二维码扫码识别。</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16.整机内置非独立外扩展的阵列麦克风，可用于对教室环境音频进行采集，拾音距离≥12米。</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17.内置摄像头、麦克风，无外接线材连接，无可见模块化拼接，未占用整机设备端口。</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18.外接电脑设备通过HDMI线投送画面至整机时，再连接TypeB USB线至整机触控输出接口，即可直接调用整机内置的摄像头、麦克风、扬声器，在外接电脑即可拍摄教室画面。</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19.支持前置Type-C接口，通过Type-C接口实现音视频输入，外接电脑设备通过标准TypeC线连接至整机TypeC口，即可把外接电脑设备画面投到整机上，同时在整机上操作画面，可实现触摸电脑的操作，无需再连接触控USB线。</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20.外接电脑设备通过机外TypeC线连接至整机Type-C口，可直接调用整机内置的摄像头、麦克风、扬声器，在外接电脑可拍摄教室画面。</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21.支持通道自动跳转功能，如整机处于正常使用状态，HDMI信号接入时，能自动识别并切换到对应的HDMI信号源通道，且断开后能回到上一通道，自动跳转前支持选择确认，待确认后再跳转。</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22.支持外接信号输入时自动唤醒功能，整机处于关机通电状态，外接电脑显示信号通过HDMI传输线连接至整机时，整机可智能识别外接电脑设备信号输入并自动开机。</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23.整机关机状态下，通过长按电源键进入设置界面后，可点击屏幕选择恢复整机系统及Windows操作系统到出厂默认状态，无需额外工具辅助。</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24.支持半屏模式，将Windows显示画面上半部分下拉到显示屏的下半部分显示，此时依然可以正常触控操作Windows系统；点击非Windows显示画面区域，即可退出该模式，无需其他设置。</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25.具备智能手势识别功能，在任意信号源通道下可识别五指上、下、左、右方向手势滑动并调用响应功能，支持将各手势滑动方向自定义设置为无操作、熄屏、批注、桌面、半屏模式。</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26.整机内置专业硬件自检维护工具（不接受第三方工具），支持对触摸框、PC模块等模块进行检测，针对不同模块给出问题原因提示。（投标文件中提供第三方检测</w:t>
            </w:r>
            <w:r>
              <w:rPr>
                <w:rFonts w:ascii="宋体" w:hAnsi="宋体" w:eastAsia="宋体" w:cs="宋体"/>
                <w:color w:val="auto"/>
                <w:kern w:val="2"/>
                <w:sz w:val="21"/>
                <w:szCs w:val="21"/>
                <w:highlight w:val="none"/>
                <w:u w:val="none"/>
                <w:lang w:val="en-US" w:eastAsia="zh-CN" w:bidi="ar-SA"/>
              </w:rPr>
              <w:t>机构</w:t>
            </w:r>
            <w:r>
              <w:rPr>
                <w:rFonts w:hint="eastAsia" w:ascii="宋体" w:hAnsi="宋体" w:eastAsia="宋体" w:cs="宋体"/>
                <w:color w:val="auto"/>
                <w:kern w:val="2"/>
                <w:sz w:val="21"/>
                <w:szCs w:val="21"/>
                <w:highlight w:val="none"/>
                <w:u w:val="none"/>
                <w:lang w:val="en-US" w:eastAsia="zh-CN" w:bidi="ar-SA"/>
              </w:rPr>
              <w:t>出具的检测报告证明）</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27.整机视网膜蓝光危害（蓝光加权辐射亮度LB）符合IEC62471标准，LB限值范围≤0.55（蓝光危害最大状况下）。</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28.前置 USB 接口具备防撞挡板设计，防撞挡板采用转轴式翻转。</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29.内置蓝牙模块，能连接外部蓝牙音箱播放音频，也能接收外部手机通过蓝牙发送的文件。蓝牙支持 Bluetooth 4.2 标准。内置蓝牙模块工作距离不低于12米。</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30.支持标准、HDR、节能图像模式调节。</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31.支持同一支红外笔笔头、笔尾书写不同的颜色，且颜色可自定义。</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32.采用钢化玻璃，有效保护屏幕显示画面。</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33.玻璃表面采用纳米材料镀膜环保工艺，书写更加顺滑，防眩光效果更加优异。</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34.机身具备防盐雾锈蚀特性，且满足GB4943.1-2011标准中的防火要求。</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35.整机具备抗振动、防跌落特性，保证整机运输或使用过程中不易受损。</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36.整机在0℃- 40℃环境下可正常工作，在-20℃—60℃的环境下可正常贮存且贮存后功能无损。</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37.具备电视遥控功能和电脑键盘常用的F1—F12功能键及Alt+F4、Alt+Tab、Space、Enter、windows等快捷按键，可实现一键开启交互白板软件、PPT上下翻页、一键锁定/解锁触摸及整机实体按键、一键熄屏的功能。</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38.支持通过Type-C接口U盘进行文件传输，兼容手机充电。</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39.屏幕显示灰度分辨等级达到256级以上灰阶。</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40.整机在五分钟内处于无信号接收状态时，能够自动关机。</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41.内置触摸中控菜单，将信号源通道切换、护眼、声音调节等整合到同一菜单下，无须实体按键，在任意显示通道下均可通过手势在屏幕上调取该触摸菜单。</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42.整机在任意通道的侧拉栏批注模式下，支持通过手势识别调出板擦工具擦除批注内容，可根据手与屏幕的接触面积自动调整板擦工具的大小。</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43.触摸屏在照度100k lux 环境下仍能正常工作。</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44.触摸分辨率32768×32768。触摸响应时间≤4ms。触摸最小识别物≤3mm。整机屏幕触摸有效识别高度不超过3.5mm,，即触摸物体距离玻璃外表面高度不超过3.5mm时，触摸屏识别为点击操作。 </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45.触摸屏具有防遮挡功能，触摸接收器在单点或多点遮挡后仍能正常书写。</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46.Windows XP、Windows 7、Windows 8、Windows 8.1、 Windows 10、Linux、Mac Os系统外置电脑操作系统接入时，无需安装触摸框驱动。</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47.嵌入式Android操作系统下，互动白板支持不同背景颜色，同时提供学科专用背景，如：五线谱、信纸、田字格、英文格、篮球和足球场地平面图。</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48.无PC状态下，嵌入式系统内置互动白板支持十笔书写及手掌擦除（手掌擦除面积根据手掌与屏幕的接触面大小自动调整），白板书写内容可导出PDF、IWB、SVG等格式。支持10种以上平面图形工具，支持8种以上立体图形工具。</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49.无PC状态下，嵌入式系统内置互动白板支持全局漫游，并能在工具栏中对全局内容进行预览和移动</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50.无PC状态下，嵌入式Android操作系统下可实现windows系统中常用的教学应用功能，如白板书写、WPS软件使用、网页浏览。（投标文件中提供第三检方测</w:t>
            </w:r>
            <w:r>
              <w:rPr>
                <w:rFonts w:ascii="宋体" w:hAnsi="宋体" w:eastAsia="宋体" w:cs="宋体"/>
                <w:color w:val="auto"/>
                <w:kern w:val="2"/>
                <w:sz w:val="21"/>
                <w:szCs w:val="21"/>
                <w:highlight w:val="none"/>
                <w:u w:val="none"/>
                <w:lang w:val="en-US" w:eastAsia="zh-CN" w:bidi="ar-SA"/>
              </w:rPr>
              <w:t>机构</w:t>
            </w:r>
            <w:r>
              <w:rPr>
                <w:rFonts w:hint="eastAsia" w:ascii="宋体" w:hAnsi="宋体" w:eastAsia="宋体" w:cs="宋体"/>
                <w:color w:val="auto"/>
                <w:kern w:val="2"/>
                <w:sz w:val="21"/>
                <w:szCs w:val="21"/>
                <w:highlight w:val="none"/>
                <w:u w:val="none"/>
                <w:lang w:val="en-US" w:eastAsia="zh-CN" w:bidi="ar-SA"/>
              </w:rPr>
              <w:t>出具的检测报告证明）</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51.在嵌入式Android操作系统下，能对TV多媒体USB所读取到的文件进行自动归类，可快速分类查找文档、板书、图片、音视频，检索后可直接在界面中打开。</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52.电脑模块</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53.主板南桥采用H310芯片组，搭载Intel 酷睿系列 i5 CPU</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54.内存：8GB DDR4笔记本内存或以上配置。</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55.硬盘：256GB或以上SSD固态硬盘</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56.机身采用热浸镀锌金属材质，采用智能风扇低噪音散热设计,模块主体尺寸不小于22cm*17cm*3cm以预留足够散热空间，确保封闭空间内有效散热。</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57.PC模块可抽拉式插入整机，可实现无单独接线的插拔。</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58.和整机的连接采用万兆级接口，传输速率≥10Gbps。（投标文件中提供第三方检测</w:t>
            </w:r>
            <w:r>
              <w:rPr>
                <w:rFonts w:ascii="宋体" w:hAnsi="宋体" w:eastAsia="宋体" w:cs="宋体"/>
                <w:color w:val="auto"/>
                <w:kern w:val="2"/>
                <w:sz w:val="21"/>
                <w:szCs w:val="21"/>
                <w:highlight w:val="none"/>
                <w:u w:val="none"/>
                <w:lang w:val="en-US" w:eastAsia="zh-CN" w:bidi="ar-SA"/>
              </w:rPr>
              <w:t>机构</w:t>
            </w:r>
            <w:r>
              <w:rPr>
                <w:rFonts w:hint="eastAsia" w:ascii="宋体" w:hAnsi="宋体" w:eastAsia="宋体" w:cs="宋体"/>
                <w:color w:val="auto"/>
                <w:kern w:val="2"/>
                <w:sz w:val="21"/>
                <w:szCs w:val="21"/>
                <w:highlight w:val="none"/>
                <w:u w:val="none"/>
                <w:lang w:val="en-US" w:eastAsia="zh-CN" w:bidi="ar-SA"/>
              </w:rPr>
              <w:t>出具的检测报告证明）</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59.采用按压式卡扣，无需工具就可快速拆卸电脑模块。（投标文件中提供第三方检测</w:t>
            </w:r>
            <w:r>
              <w:rPr>
                <w:rFonts w:ascii="宋体" w:hAnsi="宋体" w:eastAsia="宋体" w:cs="宋体"/>
                <w:color w:val="auto"/>
                <w:kern w:val="2"/>
                <w:sz w:val="21"/>
                <w:szCs w:val="21"/>
                <w:highlight w:val="none"/>
                <w:u w:val="none"/>
                <w:lang w:val="en-US" w:eastAsia="zh-CN" w:bidi="ar-SA"/>
              </w:rPr>
              <w:t>机构</w:t>
            </w:r>
            <w:r>
              <w:rPr>
                <w:rFonts w:hint="eastAsia" w:ascii="宋体" w:hAnsi="宋体" w:eastAsia="宋体" w:cs="宋体"/>
                <w:color w:val="auto"/>
                <w:kern w:val="2"/>
                <w:sz w:val="21"/>
                <w:szCs w:val="21"/>
                <w:highlight w:val="none"/>
                <w:u w:val="none"/>
                <w:lang w:val="en-US" w:eastAsia="zh-CN" w:bidi="ar-SA"/>
              </w:rPr>
              <w:t>出具的检测报告证明）</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60.具有独立非外扩展的视频输出接口：≥1路HDMI 。</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61.具有独立非外扩展的电脑USB接口：≥3路USB。</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62.具有标准PC防盗锁孔。</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63.PC模块的USB接口须为冗余备份接口，在正常使用整机的内置摄像头、内置麦克风功能时，USB接口不被占用，确保教师有足够的接口外接存储设备及显示设备</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1套</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19</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无线传屏器</w:t>
            </w:r>
          </w:p>
        </w:tc>
        <w:tc>
          <w:tcPr>
            <w:tcW w:w="6390"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1.采用USB端口进行传输，可兼容市面上具备通用USB端子的各类电脑。（提供第三方检测中心所出具的权威检测报告）</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2.采用单按键设计，只需按一下即可传屏，无需在智能平板上做任何操作。（提供第三方检测中心所出具的权威检测报告）</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3.通过数字信号传输，信号更稳定，抗干扰性强</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4.传输分辨率：支持1920*1080@30Hz</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5.传屏器功耗：不超过2.5W</w:t>
            </w:r>
          </w:p>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6.电脑免驱，无需额外安装驱动，连接上即可使用。</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2个</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20</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8"/>
                <w:szCs w:val="27"/>
                <w:highlight w:val="none"/>
                <w:u w:val="none"/>
                <w:lang w:val="en-US" w:eastAsia="zh-CN" w:bidi="ar-SA"/>
              </w:rPr>
              <w:t>▲</w:t>
            </w:r>
            <w:r>
              <w:rPr>
                <w:rStyle w:val="12"/>
                <w:rFonts w:hint="default"/>
                <w:color w:val="auto"/>
                <w:kern w:val="2"/>
                <w:sz w:val="21"/>
                <w:szCs w:val="21"/>
                <w:highlight w:val="none"/>
                <w:lang w:val="en-US" w:eastAsia="zh-CN" w:bidi="ar"/>
              </w:rPr>
              <w:t>人工智能机器人开发套件（智能小车）</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3"/>
              <w:snapToGrid w:val="0"/>
              <w:ind w:firstLine="420" w:firstLineChars="200"/>
              <w:rPr>
                <w:rFonts w:cs="宋体"/>
                <w:color w:val="auto"/>
                <w:highlight w:val="none"/>
              </w:rPr>
            </w:pPr>
            <w:r>
              <w:rPr>
                <w:rFonts w:hint="eastAsia" w:cs="宋体"/>
                <w:color w:val="auto"/>
                <w:highlight w:val="none"/>
              </w:rPr>
              <w:t>系统整体要求人工智能机器人开发套件结合了机械、电子、传感器、计算机软硬件、机器人操作系统、人工智能等众多的先进技术。</w:t>
            </w:r>
          </w:p>
          <w:p>
            <w:pPr>
              <w:pStyle w:val="13"/>
              <w:snapToGrid w:val="0"/>
              <w:ind w:firstLine="420" w:firstLineChars="200"/>
              <w:rPr>
                <w:rFonts w:cs="宋体"/>
                <w:color w:val="auto"/>
                <w:highlight w:val="none"/>
              </w:rPr>
            </w:pPr>
            <w:r>
              <w:rPr>
                <w:rFonts w:hint="eastAsia" w:cs="宋体"/>
                <w:color w:val="auto"/>
                <w:highlight w:val="none"/>
              </w:rPr>
              <w:t>金属结构件能够轻易完成机械结构搭建，配合高性能的微处理器，多种常用传感器，若干电机及舵机，方便验证机器人结构的运动特性、微处理器及机器人操作系统等方面的实验。</w:t>
            </w:r>
          </w:p>
          <w:p>
            <w:pPr>
              <w:pStyle w:val="13"/>
              <w:snapToGrid w:val="0"/>
              <w:ind w:firstLine="420" w:firstLineChars="200"/>
              <w:rPr>
                <w:rFonts w:cs="宋体"/>
                <w:color w:val="auto"/>
                <w:highlight w:val="none"/>
              </w:rPr>
            </w:pPr>
            <w:r>
              <w:rPr>
                <w:rFonts w:hint="eastAsia" w:cs="宋体"/>
                <w:color w:val="auto"/>
                <w:highlight w:val="none"/>
              </w:rPr>
              <w:t>能够结合人工智能让机器人更加智能，基于TensorFlow框架开发完成训练模型、调试参数、打包模型一系列人工智能开发流程。</w:t>
            </w:r>
          </w:p>
          <w:p>
            <w:pPr>
              <w:pStyle w:val="13"/>
              <w:snapToGrid w:val="0"/>
              <w:ind w:firstLine="422" w:firstLineChars="200"/>
              <w:rPr>
                <w:rFonts w:cs="宋体"/>
                <w:b/>
                <w:color w:val="auto"/>
                <w:highlight w:val="none"/>
              </w:rPr>
            </w:pPr>
            <w:r>
              <w:rPr>
                <w:rFonts w:hint="eastAsia" w:cs="宋体"/>
                <w:b/>
                <w:color w:val="auto"/>
                <w:highlight w:val="none"/>
              </w:rPr>
              <w:t>一、硬件要求</w:t>
            </w:r>
          </w:p>
          <w:p>
            <w:pPr>
              <w:pStyle w:val="13"/>
              <w:snapToGrid w:val="0"/>
              <w:ind w:firstLine="420" w:firstLineChars="200"/>
              <w:rPr>
                <w:rFonts w:cs="宋体"/>
                <w:color w:val="auto"/>
                <w:highlight w:val="none"/>
              </w:rPr>
            </w:pPr>
            <w:r>
              <w:rPr>
                <w:rFonts w:hint="eastAsia" w:cs="宋体"/>
                <w:color w:val="auto"/>
                <w:highlight w:val="none"/>
              </w:rPr>
              <w:t>1、铝合金板件1套：通过16块的钣金件能够组装车模。</w:t>
            </w:r>
          </w:p>
          <w:p>
            <w:pPr>
              <w:pStyle w:val="13"/>
              <w:snapToGrid w:val="0"/>
              <w:ind w:firstLine="420" w:firstLineChars="200"/>
              <w:rPr>
                <w:rFonts w:cs="宋体"/>
                <w:color w:val="auto"/>
                <w:highlight w:val="none"/>
              </w:rPr>
            </w:pPr>
            <w:r>
              <w:rPr>
                <w:rFonts w:hint="eastAsia" w:cs="宋体"/>
                <w:color w:val="auto"/>
                <w:highlight w:val="none"/>
              </w:rPr>
              <w:t>2、直流减速电机4台；</w:t>
            </w:r>
          </w:p>
          <w:p>
            <w:pPr>
              <w:pStyle w:val="13"/>
              <w:snapToGrid w:val="0"/>
              <w:ind w:firstLine="420" w:firstLineChars="200"/>
              <w:rPr>
                <w:rFonts w:cs="宋体"/>
                <w:color w:val="auto"/>
                <w:highlight w:val="none"/>
              </w:rPr>
            </w:pPr>
            <w:r>
              <w:rPr>
                <w:rFonts w:hint="eastAsia" w:cs="宋体"/>
                <w:color w:val="auto"/>
                <w:highlight w:val="none"/>
              </w:rPr>
              <w:t>3、格氏3S/25C/1300mA动力锂电池2个；</w:t>
            </w:r>
          </w:p>
          <w:p>
            <w:pPr>
              <w:pStyle w:val="13"/>
              <w:snapToGrid w:val="0"/>
              <w:ind w:firstLine="420" w:firstLineChars="200"/>
              <w:rPr>
                <w:rFonts w:cs="宋体"/>
                <w:color w:val="auto"/>
                <w:highlight w:val="none"/>
              </w:rPr>
            </w:pPr>
            <w:r>
              <w:rPr>
                <w:rFonts w:hint="eastAsia" w:cs="宋体"/>
                <w:color w:val="auto"/>
                <w:highlight w:val="none"/>
              </w:rPr>
              <w:t>4、3S锂电池平衡充1个；</w:t>
            </w:r>
          </w:p>
          <w:p>
            <w:pPr>
              <w:pStyle w:val="13"/>
              <w:snapToGrid w:val="0"/>
              <w:ind w:firstLine="420" w:firstLineChars="200"/>
              <w:rPr>
                <w:rFonts w:cs="宋体"/>
                <w:color w:val="auto"/>
                <w:highlight w:val="none"/>
              </w:rPr>
            </w:pPr>
            <w:r>
              <w:rPr>
                <w:rFonts w:hint="eastAsia" w:cs="宋体"/>
                <w:color w:val="auto"/>
                <w:highlight w:val="none"/>
              </w:rPr>
              <w:t>5、12V/2A电源适配器1个；</w:t>
            </w:r>
          </w:p>
          <w:p>
            <w:pPr>
              <w:pStyle w:val="13"/>
              <w:snapToGrid w:val="0"/>
              <w:ind w:firstLine="420" w:firstLineChars="200"/>
              <w:rPr>
                <w:rFonts w:cs="宋体"/>
                <w:color w:val="auto"/>
                <w:highlight w:val="none"/>
              </w:rPr>
            </w:pPr>
            <w:r>
              <w:rPr>
                <w:rFonts w:hint="eastAsia" w:cs="宋体"/>
                <w:color w:val="auto"/>
                <w:highlight w:val="none"/>
              </w:rPr>
              <w:t>6、全向车驱动模组1套；</w:t>
            </w:r>
          </w:p>
          <w:p>
            <w:pPr>
              <w:pStyle w:val="13"/>
              <w:snapToGrid w:val="0"/>
              <w:ind w:firstLine="420" w:firstLineChars="200"/>
              <w:rPr>
                <w:rFonts w:cs="宋体"/>
                <w:color w:val="auto"/>
                <w:highlight w:val="none"/>
              </w:rPr>
            </w:pPr>
            <w:r>
              <w:rPr>
                <w:rFonts w:hint="eastAsia" w:cs="宋体"/>
                <w:color w:val="auto"/>
                <w:highlight w:val="none"/>
              </w:rPr>
              <w:t>7、Cortex-M4核心板</w:t>
            </w:r>
          </w:p>
          <w:p>
            <w:pPr>
              <w:pStyle w:val="13"/>
              <w:snapToGrid w:val="0"/>
              <w:ind w:firstLine="420" w:firstLineChars="200"/>
              <w:rPr>
                <w:rFonts w:cs="宋体"/>
                <w:color w:val="auto"/>
                <w:highlight w:val="none"/>
              </w:rPr>
            </w:pPr>
            <w:r>
              <w:rPr>
                <w:rFonts w:hint="eastAsia" w:cs="宋体"/>
                <w:color w:val="auto"/>
                <w:highlight w:val="none"/>
              </w:rPr>
              <w:t>主控芯片：STM32F407；具有USB转串口；RGB三色LED；电机控制、正交码盘、舵机控制、定时器扩展、GPIO等扩展端口；</w:t>
            </w:r>
          </w:p>
          <w:p>
            <w:pPr>
              <w:pStyle w:val="13"/>
              <w:snapToGrid w:val="0"/>
              <w:ind w:firstLine="420" w:firstLineChars="200"/>
              <w:rPr>
                <w:rFonts w:cs="宋体"/>
                <w:color w:val="auto"/>
                <w:highlight w:val="none"/>
              </w:rPr>
            </w:pPr>
            <w:r>
              <w:rPr>
                <w:rFonts w:hint="eastAsia" w:cs="宋体"/>
                <w:color w:val="auto"/>
                <w:highlight w:val="none"/>
              </w:rPr>
              <w:t>8、ST-LINK V2仿真器1个；</w:t>
            </w:r>
          </w:p>
          <w:p>
            <w:pPr>
              <w:pStyle w:val="13"/>
              <w:snapToGrid w:val="0"/>
              <w:ind w:firstLine="420" w:firstLineChars="200"/>
              <w:rPr>
                <w:rFonts w:cs="宋体"/>
                <w:color w:val="auto"/>
                <w:highlight w:val="none"/>
              </w:rPr>
            </w:pPr>
            <w:r>
              <w:rPr>
                <w:rFonts w:hint="eastAsia" w:cs="宋体"/>
                <w:color w:val="auto"/>
                <w:highlight w:val="none"/>
              </w:rPr>
              <w:t>9、DEBUG仿真接口转接板1块；</w:t>
            </w:r>
          </w:p>
          <w:p>
            <w:pPr>
              <w:pStyle w:val="13"/>
              <w:snapToGrid w:val="0"/>
              <w:ind w:firstLine="420" w:firstLineChars="200"/>
              <w:rPr>
                <w:rFonts w:cs="宋体"/>
                <w:color w:val="auto"/>
                <w:highlight w:val="none"/>
              </w:rPr>
            </w:pPr>
            <w:r>
              <w:rPr>
                <w:rFonts w:hint="eastAsia" w:cs="宋体"/>
                <w:color w:val="auto"/>
                <w:highlight w:val="none"/>
              </w:rPr>
              <w:t>10、传感器功能板</w:t>
            </w:r>
          </w:p>
          <w:p>
            <w:pPr>
              <w:pStyle w:val="13"/>
              <w:snapToGrid w:val="0"/>
              <w:ind w:firstLine="420" w:firstLineChars="200"/>
              <w:rPr>
                <w:rFonts w:cs="宋体"/>
                <w:color w:val="auto"/>
                <w:highlight w:val="none"/>
              </w:rPr>
            </w:pPr>
            <w:r>
              <w:rPr>
                <w:rFonts w:hint="eastAsia" w:cs="宋体"/>
                <w:color w:val="auto"/>
                <w:highlight w:val="none"/>
              </w:rPr>
              <w:t xml:space="preserve">具有OLED显示：128*64，SPI接口；ESP-32S单元：蓝牙+Wi-Fi双模；5路用户按键单元；MPU6050六轴传感单元；HMC5883L三轴电子罗盘单元； </w:t>
            </w:r>
          </w:p>
          <w:p>
            <w:pPr>
              <w:pStyle w:val="13"/>
              <w:snapToGrid w:val="0"/>
              <w:ind w:firstLine="420" w:firstLineChars="200"/>
              <w:rPr>
                <w:rFonts w:cs="宋体"/>
                <w:color w:val="auto"/>
                <w:highlight w:val="none"/>
              </w:rPr>
            </w:pPr>
            <w:r>
              <w:rPr>
                <w:rFonts w:hint="eastAsia" w:cs="宋体"/>
                <w:color w:val="auto"/>
                <w:highlight w:val="none"/>
              </w:rPr>
              <w:t>11、人工智能运算单元主板</w:t>
            </w:r>
          </w:p>
          <w:p>
            <w:pPr>
              <w:pStyle w:val="13"/>
              <w:snapToGrid w:val="0"/>
              <w:ind w:firstLine="420" w:firstLineChars="200"/>
              <w:rPr>
                <w:rFonts w:cs="宋体"/>
                <w:color w:val="auto"/>
                <w:highlight w:val="none"/>
              </w:rPr>
            </w:pPr>
            <w:r>
              <w:rPr>
                <w:rFonts w:hint="eastAsia" w:cs="宋体"/>
                <w:color w:val="auto"/>
                <w:highlight w:val="none"/>
              </w:rPr>
              <w:t>处理器1.4GHz四核ARM Cortex-A53；内存1GB；千兆以太网卡；无线网卡1个；低功耗蓝牙4.2（BLE）1个；HDMI接口1路；USB2.0接口4路；3.5mm音频输出接口1个；GPIO接口40PIN；CSI摄像头接口1个；DSI显示接口1个。</w:t>
            </w:r>
          </w:p>
          <w:p>
            <w:pPr>
              <w:pStyle w:val="13"/>
              <w:snapToGrid w:val="0"/>
              <w:ind w:firstLine="420" w:firstLineChars="200"/>
              <w:rPr>
                <w:rFonts w:cs="宋体"/>
                <w:color w:val="auto"/>
                <w:highlight w:val="none"/>
              </w:rPr>
            </w:pPr>
            <w:r>
              <w:rPr>
                <w:rFonts w:hint="eastAsia" w:cs="宋体"/>
                <w:color w:val="auto"/>
                <w:highlight w:val="none"/>
              </w:rPr>
              <w:t>12、ROS运算单元主板</w:t>
            </w:r>
          </w:p>
          <w:p>
            <w:pPr>
              <w:pStyle w:val="13"/>
              <w:snapToGrid w:val="0"/>
              <w:ind w:firstLine="420" w:firstLineChars="200"/>
              <w:rPr>
                <w:rFonts w:cs="宋体"/>
                <w:color w:val="auto"/>
                <w:highlight w:val="none"/>
              </w:rPr>
            </w:pPr>
            <w:r>
              <w:rPr>
                <w:rFonts w:hint="eastAsia" w:cs="宋体"/>
                <w:color w:val="auto"/>
                <w:highlight w:val="none"/>
              </w:rPr>
              <w:t>采用树莓派3B+：处理器1.4GHz四核ARM Cortex-A53；内存1GB；千兆以太网卡；无线网卡1个；低功耗蓝牙4.2（BLE）1个；HDMI接口1路；USB2.0接口4路；3.5mm音频输出接口1个；GPIO接口40PIN；CSI摄像头接口1个；DSI显示接口1个。</w:t>
            </w:r>
          </w:p>
          <w:p>
            <w:pPr>
              <w:pStyle w:val="13"/>
              <w:snapToGrid w:val="0"/>
              <w:ind w:firstLine="420" w:firstLineChars="200"/>
              <w:rPr>
                <w:rFonts w:cs="宋体"/>
                <w:color w:val="auto"/>
                <w:highlight w:val="none"/>
              </w:rPr>
            </w:pPr>
            <w:r>
              <w:rPr>
                <w:rFonts w:hint="eastAsia" w:cs="宋体"/>
                <w:color w:val="auto"/>
                <w:highlight w:val="none"/>
              </w:rPr>
              <w:t>13、工业级USB免驱摄像头2个；</w:t>
            </w:r>
          </w:p>
          <w:p>
            <w:pPr>
              <w:pStyle w:val="13"/>
              <w:snapToGrid w:val="0"/>
              <w:ind w:firstLine="420" w:firstLineChars="200"/>
              <w:rPr>
                <w:rFonts w:cs="宋体"/>
                <w:color w:val="auto"/>
                <w:highlight w:val="none"/>
              </w:rPr>
            </w:pPr>
            <w:r>
              <w:rPr>
                <w:rFonts w:hint="eastAsia" w:cs="宋体"/>
                <w:color w:val="auto"/>
                <w:highlight w:val="none"/>
              </w:rPr>
              <w:t>24位图像色彩，MJPEG图像下：输出分辨率1920*1080时31帧成像，输出分辨率1280*720时60帧成像，输出分辨率800*600时60帧成像，输出分辨率640*480时120帧成像，120°广角无畸变；</w:t>
            </w:r>
          </w:p>
          <w:p>
            <w:pPr>
              <w:pStyle w:val="13"/>
              <w:snapToGrid w:val="0"/>
              <w:ind w:firstLine="420" w:firstLineChars="200"/>
              <w:rPr>
                <w:rFonts w:cs="宋体"/>
                <w:color w:val="auto"/>
                <w:highlight w:val="none"/>
              </w:rPr>
            </w:pPr>
            <w:r>
              <w:rPr>
                <w:rFonts w:hint="eastAsia" w:cs="宋体"/>
                <w:color w:val="auto"/>
                <w:highlight w:val="none"/>
              </w:rPr>
              <w:t>14、360度激光雷达1个；</w:t>
            </w:r>
          </w:p>
          <w:p>
            <w:pPr>
              <w:pStyle w:val="13"/>
              <w:snapToGrid w:val="0"/>
              <w:ind w:firstLine="420" w:firstLineChars="200"/>
              <w:rPr>
                <w:rFonts w:cs="宋体"/>
                <w:color w:val="auto"/>
                <w:highlight w:val="none"/>
              </w:rPr>
            </w:pPr>
            <w:r>
              <w:rPr>
                <w:rFonts w:hint="eastAsia" w:cs="宋体"/>
                <w:color w:val="auto"/>
                <w:highlight w:val="none"/>
              </w:rPr>
              <w:t>测量范围≥12米半径；至少具有360度扫描测距；测量频率≥8000次/秒；至少具有2-10Hz可配置的扫描频率，具有光磁融合；即插即用，且必须配备串口和USB接口；</w:t>
            </w:r>
          </w:p>
          <w:p>
            <w:pPr>
              <w:pStyle w:val="13"/>
              <w:snapToGrid w:val="0"/>
              <w:ind w:firstLine="420" w:firstLineChars="200"/>
              <w:rPr>
                <w:rFonts w:cs="宋体"/>
                <w:color w:val="auto"/>
                <w:highlight w:val="none"/>
              </w:rPr>
            </w:pPr>
            <w:r>
              <w:rPr>
                <w:rFonts w:hint="eastAsia" w:cs="宋体"/>
                <w:color w:val="auto"/>
                <w:highlight w:val="none"/>
              </w:rPr>
              <w:t>15、3英寸麦克纳姆轮4个；</w:t>
            </w:r>
          </w:p>
          <w:p>
            <w:pPr>
              <w:pStyle w:val="13"/>
              <w:snapToGrid w:val="0"/>
              <w:ind w:firstLine="420" w:firstLineChars="200"/>
              <w:rPr>
                <w:rFonts w:cs="宋体"/>
                <w:color w:val="auto"/>
                <w:highlight w:val="none"/>
              </w:rPr>
            </w:pPr>
            <w:r>
              <w:rPr>
                <w:rFonts w:hint="eastAsia" w:cs="宋体"/>
                <w:color w:val="auto"/>
                <w:highlight w:val="none"/>
              </w:rPr>
              <w:t>碳钢一体成型轮毂；深沟轴承(国产)；钢板表面镀镍；</w:t>
            </w:r>
          </w:p>
          <w:p>
            <w:pPr>
              <w:pStyle w:val="13"/>
              <w:snapToGrid w:val="0"/>
              <w:ind w:firstLine="420" w:firstLineChars="200"/>
              <w:rPr>
                <w:rFonts w:cs="宋体"/>
                <w:color w:val="auto"/>
                <w:highlight w:val="none"/>
              </w:rPr>
            </w:pPr>
            <w:r>
              <w:rPr>
                <w:rFonts w:hint="eastAsia" w:cs="宋体"/>
                <w:color w:val="auto"/>
                <w:highlight w:val="none"/>
              </w:rPr>
              <w:t>16、摄像头转向舵机1个，转动角度≥180度；</w:t>
            </w:r>
          </w:p>
          <w:p>
            <w:pPr>
              <w:pStyle w:val="13"/>
              <w:snapToGrid w:val="0"/>
              <w:ind w:firstLine="420" w:firstLineChars="200"/>
              <w:rPr>
                <w:rFonts w:cs="宋体"/>
                <w:color w:val="auto"/>
                <w:highlight w:val="none"/>
              </w:rPr>
            </w:pPr>
            <w:r>
              <w:rPr>
                <w:rFonts w:hint="eastAsia" w:cs="宋体"/>
                <w:color w:val="auto"/>
                <w:highlight w:val="none"/>
              </w:rPr>
              <w:t>17、7寸HDMI显示器1套；</w:t>
            </w:r>
          </w:p>
          <w:p>
            <w:pPr>
              <w:pStyle w:val="13"/>
              <w:snapToGrid w:val="0"/>
              <w:ind w:firstLine="420" w:firstLineChars="200"/>
              <w:rPr>
                <w:rFonts w:cs="宋体"/>
                <w:color w:val="auto"/>
                <w:highlight w:val="none"/>
              </w:rPr>
            </w:pPr>
            <w:r>
              <w:rPr>
                <w:rFonts w:hint="eastAsia" w:cs="宋体"/>
                <w:color w:val="auto"/>
                <w:highlight w:val="none"/>
              </w:rPr>
              <w:t>分辨率≥1024*600；至少一路USB触摸接口；至少一路HDMI显示接口；</w:t>
            </w:r>
          </w:p>
          <w:p>
            <w:pPr>
              <w:pStyle w:val="13"/>
              <w:snapToGrid w:val="0"/>
              <w:ind w:firstLine="420" w:firstLineChars="200"/>
              <w:rPr>
                <w:rFonts w:cs="宋体"/>
                <w:color w:val="auto"/>
                <w:highlight w:val="none"/>
              </w:rPr>
            </w:pPr>
            <w:r>
              <w:rPr>
                <w:rFonts w:hint="eastAsia" w:cs="宋体"/>
                <w:color w:val="auto"/>
                <w:highlight w:val="none"/>
              </w:rPr>
              <w:t>18、嵌入式AI控制单元</w:t>
            </w:r>
          </w:p>
          <w:p>
            <w:pPr>
              <w:pStyle w:val="13"/>
              <w:snapToGrid w:val="0"/>
              <w:ind w:firstLine="420" w:firstLineChars="200"/>
              <w:rPr>
                <w:rFonts w:cs="宋体"/>
                <w:color w:val="auto"/>
                <w:highlight w:val="none"/>
              </w:rPr>
            </w:pPr>
            <w:r>
              <w:rPr>
                <w:rFonts w:hint="eastAsia" w:cs="宋体"/>
                <w:color w:val="auto"/>
                <w:highlight w:val="none"/>
              </w:rPr>
              <w:t>Cortex-M3内核的STM32F103系列处理器，最高主频72MHz，LQFP64封装，具有64KB的RAM和512KB的FLASH。</w:t>
            </w:r>
          </w:p>
          <w:p>
            <w:pPr>
              <w:pStyle w:val="13"/>
              <w:snapToGrid w:val="0"/>
              <w:ind w:firstLine="420" w:firstLineChars="200"/>
              <w:rPr>
                <w:rFonts w:cs="宋体"/>
                <w:color w:val="auto"/>
                <w:highlight w:val="none"/>
              </w:rPr>
            </w:pPr>
            <w:r>
              <w:rPr>
                <w:rFonts w:hint="eastAsia" w:cs="宋体"/>
                <w:color w:val="auto"/>
                <w:highlight w:val="none"/>
              </w:rPr>
              <w:t>主要用于工业机械臂控制；至少一路WiFi通信模块：ESP8266-12F；至少一路SWD仿真器接口；拥有蜂鸣器、RGB彩灯；预留扩展端口；</w:t>
            </w:r>
          </w:p>
          <w:p>
            <w:pPr>
              <w:pStyle w:val="13"/>
              <w:snapToGrid w:val="0"/>
              <w:ind w:firstLine="420" w:firstLineChars="200"/>
              <w:rPr>
                <w:rFonts w:cs="宋体"/>
                <w:color w:val="auto"/>
                <w:highlight w:val="none"/>
              </w:rPr>
            </w:pPr>
            <w:r>
              <w:rPr>
                <w:rFonts w:hint="eastAsia" w:cs="宋体"/>
                <w:color w:val="auto"/>
                <w:highlight w:val="none"/>
              </w:rPr>
              <w:t>19、工业机械臂</w:t>
            </w:r>
          </w:p>
          <w:p>
            <w:pPr>
              <w:pStyle w:val="13"/>
              <w:snapToGrid w:val="0"/>
              <w:ind w:firstLine="420" w:firstLineChars="200"/>
              <w:rPr>
                <w:rFonts w:cs="宋体"/>
                <w:color w:val="auto"/>
                <w:highlight w:val="none"/>
              </w:rPr>
            </w:pPr>
            <w:r>
              <w:rPr>
                <w:rFonts w:hint="eastAsia" w:cs="宋体"/>
                <w:color w:val="auto"/>
                <w:highlight w:val="none"/>
              </w:rPr>
              <w:t>带反馈的可编程机械手臂，包含 6 个高寿命串行总线舵机，每个舵机可以反馈位置、电压、温度等数据； PS2手柄</w:t>
            </w:r>
          </w:p>
          <w:p>
            <w:pPr>
              <w:pStyle w:val="13"/>
              <w:snapToGrid w:val="0"/>
              <w:ind w:firstLine="420" w:firstLineChars="200"/>
              <w:rPr>
                <w:rFonts w:cs="宋体"/>
                <w:color w:val="auto"/>
                <w:highlight w:val="none"/>
              </w:rPr>
            </w:pPr>
            <w:r>
              <w:rPr>
                <w:rFonts w:hint="eastAsia" w:cs="宋体"/>
                <w:color w:val="auto"/>
                <w:highlight w:val="none"/>
              </w:rPr>
              <w:t>串行通信，至少可实现按键控制以及摇杆控制。</w:t>
            </w:r>
          </w:p>
          <w:p>
            <w:pPr>
              <w:pStyle w:val="13"/>
              <w:snapToGrid w:val="0"/>
              <w:ind w:firstLine="422" w:firstLineChars="200"/>
              <w:rPr>
                <w:rFonts w:cs="宋体"/>
                <w:b/>
                <w:color w:val="auto"/>
                <w:highlight w:val="none"/>
              </w:rPr>
            </w:pPr>
            <w:r>
              <w:rPr>
                <w:rFonts w:hint="eastAsia" w:cs="宋体"/>
                <w:b/>
                <w:color w:val="auto"/>
                <w:highlight w:val="none"/>
              </w:rPr>
              <w:t>二、软件资源</w:t>
            </w:r>
          </w:p>
          <w:p>
            <w:pPr>
              <w:pStyle w:val="13"/>
              <w:numPr>
                <w:ilvl w:val="0"/>
                <w:numId w:val="4"/>
              </w:numPr>
              <w:snapToGrid w:val="0"/>
              <w:ind w:left="0" w:firstLine="420" w:firstLineChars="200"/>
              <w:rPr>
                <w:rFonts w:cs="宋体"/>
                <w:color w:val="auto"/>
                <w:highlight w:val="none"/>
              </w:rPr>
            </w:pPr>
            <w:r>
              <w:rPr>
                <w:rFonts w:hint="eastAsia" w:cs="宋体"/>
                <w:color w:val="auto"/>
                <w:highlight w:val="none"/>
              </w:rPr>
              <w:t>提供智能车控制系统软件，内容包含：</w:t>
            </w:r>
          </w:p>
          <w:p>
            <w:pPr>
              <w:pStyle w:val="13"/>
              <w:numPr>
                <w:ilvl w:val="0"/>
                <w:numId w:val="5"/>
              </w:numPr>
              <w:snapToGrid w:val="0"/>
              <w:ind w:left="0" w:firstLine="420" w:firstLineChars="200"/>
              <w:rPr>
                <w:rFonts w:cs="宋体"/>
                <w:color w:val="auto"/>
                <w:highlight w:val="none"/>
              </w:rPr>
            </w:pPr>
            <w:r>
              <w:rPr>
                <w:rFonts w:hint="eastAsia" w:cs="宋体"/>
                <w:color w:val="auto"/>
                <w:highlight w:val="none"/>
              </w:rPr>
              <w:t>STM32主控部分</w:t>
            </w:r>
          </w:p>
          <w:p>
            <w:pPr>
              <w:pStyle w:val="13"/>
              <w:snapToGrid w:val="0"/>
              <w:ind w:firstLine="420" w:firstLineChars="200"/>
              <w:rPr>
                <w:rFonts w:cs="宋体"/>
                <w:color w:val="auto"/>
                <w:highlight w:val="none"/>
              </w:rPr>
            </w:pPr>
            <w:r>
              <w:rPr>
                <w:rFonts w:hint="eastAsia" w:cs="宋体"/>
                <w:color w:val="auto"/>
                <w:highlight w:val="none"/>
              </w:rPr>
              <w:t>提供QMC5883L驱动实验、MPU6050驱动实验、MPU6050内部DMP固件移植解析、ESP-32S Wi-Fi透传实验等实验，实验数量≥18个，投标时提供详细实验清单；</w:t>
            </w:r>
          </w:p>
          <w:p>
            <w:pPr>
              <w:pStyle w:val="13"/>
              <w:numPr>
                <w:ilvl w:val="0"/>
                <w:numId w:val="5"/>
              </w:numPr>
              <w:snapToGrid w:val="0"/>
              <w:ind w:left="0" w:firstLine="420" w:firstLineChars="200"/>
              <w:rPr>
                <w:rFonts w:cs="宋体"/>
                <w:color w:val="auto"/>
                <w:highlight w:val="none"/>
              </w:rPr>
            </w:pPr>
            <w:r>
              <w:rPr>
                <w:rFonts w:hint="eastAsia" w:cs="宋体"/>
                <w:color w:val="auto"/>
                <w:highlight w:val="none"/>
              </w:rPr>
              <w:t>ROS部分：</w:t>
            </w:r>
          </w:p>
          <w:p>
            <w:pPr>
              <w:pStyle w:val="13"/>
              <w:snapToGrid w:val="0"/>
              <w:ind w:firstLine="420" w:firstLineChars="200"/>
              <w:rPr>
                <w:rFonts w:cs="宋体"/>
                <w:color w:val="auto"/>
                <w:highlight w:val="none"/>
              </w:rPr>
            </w:pPr>
            <w:r>
              <w:rPr>
                <w:rFonts w:hint="eastAsia" w:cs="宋体"/>
                <w:color w:val="auto"/>
                <w:highlight w:val="none"/>
              </w:rPr>
              <w:t>提供机器人建模与仿真—urdf/xacro；如何实现Gazebo仿真；工具介绍及简单使用演示；添加摄像头功能包；添加雷达功能包；实现与stm32的通信；action使用；按键控制；视觉识别；雷达数据避障等实验，实验数量≥22个，投标时提供详细实验清单；</w:t>
            </w:r>
          </w:p>
          <w:p>
            <w:pPr>
              <w:pStyle w:val="13"/>
              <w:numPr>
                <w:ilvl w:val="0"/>
                <w:numId w:val="4"/>
              </w:numPr>
              <w:snapToGrid w:val="0"/>
              <w:ind w:left="0" w:firstLine="420" w:firstLineChars="200"/>
              <w:rPr>
                <w:rFonts w:cs="宋体"/>
                <w:color w:val="auto"/>
                <w:highlight w:val="none"/>
              </w:rPr>
            </w:pPr>
            <w:r>
              <w:rPr>
                <w:rFonts w:hint="eastAsia" w:cs="宋体"/>
                <w:color w:val="auto"/>
                <w:highlight w:val="none"/>
              </w:rPr>
              <w:t>提供人工智能实验系统软件，内容包含：</w:t>
            </w:r>
          </w:p>
          <w:p>
            <w:pPr>
              <w:pStyle w:val="13"/>
              <w:numPr>
                <w:ilvl w:val="0"/>
                <w:numId w:val="6"/>
              </w:numPr>
              <w:snapToGrid w:val="0"/>
              <w:ind w:left="0" w:firstLine="420" w:firstLineChars="200"/>
              <w:rPr>
                <w:rFonts w:cs="宋体"/>
                <w:color w:val="auto"/>
                <w:highlight w:val="none"/>
              </w:rPr>
            </w:pPr>
            <w:r>
              <w:rPr>
                <w:rFonts w:hint="eastAsia" w:cs="宋体"/>
                <w:color w:val="auto"/>
                <w:highlight w:val="none"/>
              </w:rPr>
              <w:t xml:space="preserve">人工智能基础实验，实验数量≥6个，投标时提供详细实验清单； </w:t>
            </w:r>
          </w:p>
          <w:p>
            <w:pPr>
              <w:pStyle w:val="13"/>
              <w:snapToGrid w:val="0"/>
              <w:ind w:firstLine="420" w:firstLineChars="200"/>
              <w:rPr>
                <w:rFonts w:cs="宋体"/>
                <w:color w:val="auto"/>
                <w:highlight w:val="none"/>
              </w:rPr>
            </w:pPr>
            <w:r>
              <w:rPr>
                <w:rFonts w:hint="eastAsia" w:cs="宋体"/>
                <w:color w:val="auto"/>
                <w:highlight w:val="none"/>
              </w:rPr>
              <w:t>2）基本处理算法模型实验：至少包括机器学习中分类问题、回归预测问题两类问题的算法实验，实验数量≥3个，投标时提供详细实验清单；</w:t>
            </w:r>
          </w:p>
          <w:p>
            <w:pPr>
              <w:pStyle w:val="13"/>
              <w:snapToGrid w:val="0"/>
              <w:ind w:firstLine="420" w:firstLineChars="200"/>
              <w:rPr>
                <w:rFonts w:cs="宋体"/>
                <w:color w:val="auto"/>
                <w:highlight w:val="none"/>
              </w:rPr>
            </w:pPr>
            <w:r>
              <w:rPr>
                <w:rFonts w:hint="eastAsia" w:cs="宋体"/>
                <w:color w:val="auto"/>
                <w:highlight w:val="none"/>
              </w:rPr>
              <w:t>3）神经网络算法实验：至少包括基于前馈人工神经、基于闭合回路的递归神经、基于反向传播算法进行空间表征的压缩重构的网络模型算法实验，实验数量≥5个，投标时提供详细实验清单；</w:t>
            </w:r>
          </w:p>
          <w:p>
            <w:pPr>
              <w:pStyle w:val="13"/>
              <w:snapToGrid w:val="0"/>
              <w:ind w:firstLine="420" w:firstLineChars="200"/>
              <w:rPr>
                <w:rFonts w:cs="宋体"/>
                <w:color w:val="auto"/>
                <w:highlight w:val="none"/>
              </w:rPr>
            </w:pPr>
            <w:r>
              <w:rPr>
                <w:rFonts w:hint="eastAsia" w:cs="宋体"/>
                <w:color w:val="auto"/>
                <w:highlight w:val="none"/>
              </w:rPr>
              <w:t>4）TensorFlow实用技术实验：至少包括对训练出来的模型进行保存和恢复以进行新的预测，TensorFlow中Graph的可视化以及训练过程中loss的可视化实验，投标时提供详细实验清单；</w:t>
            </w:r>
          </w:p>
          <w:p>
            <w:pPr>
              <w:pStyle w:val="13"/>
              <w:snapToGrid w:val="0"/>
              <w:ind w:firstLine="420" w:firstLineChars="200"/>
              <w:rPr>
                <w:rFonts w:cs="宋体"/>
                <w:color w:val="auto"/>
                <w:highlight w:val="none"/>
              </w:rPr>
            </w:pPr>
            <w:r>
              <w:rPr>
                <w:rFonts w:hint="eastAsia" w:cs="宋体"/>
                <w:color w:val="auto"/>
                <w:highlight w:val="none"/>
              </w:rPr>
              <w:t>5）高级框架TFlearn实验：至少提供包括基于Fine-tuning实现对原模型的微调以及大型数据集的处理方案算法实验，且实验数量≥5个，投标时提供详细实验清单；</w:t>
            </w:r>
          </w:p>
          <w:p>
            <w:pPr>
              <w:pStyle w:val="13"/>
              <w:snapToGrid w:val="0"/>
              <w:ind w:firstLine="420" w:firstLineChars="200"/>
              <w:rPr>
                <w:rFonts w:cs="宋体"/>
                <w:color w:val="auto"/>
                <w:highlight w:val="none"/>
              </w:rPr>
            </w:pPr>
            <w:r>
              <w:rPr>
                <w:rFonts w:hint="eastAsia" w:cs="宋体"/>
                <w:color w:val="auto"/>
                <w:highlight w:val="none"/>
              </w:rPr>
              <w:t>6）TFlearn视觉网络：提供基于TFlearn计算机视觉处理处理网络算法实验，实验数量≥6个，投标时提供详细实验清单；</w:t>
            </w:r>
          </w:p>
          <w:p>
            <w:pPr>
              <w:pStyle w:val="13"/>
              <w:snapToGrid w:val="0"/>
              <w:ind w:firstLine="420" w:firstLineChars="200"/>
              <w:rPr>
                <w:rFonts w:cs="宋体"/>
                <w:color w:val="auto"/>
                <w:highlight w:val="none"/>
              </w:rPr>
            </w:pPr>
            <w:r>
              <w:rPr>
                <w:rFonts w:hint="eastAsia" w:cs="宋体"/>
                <w:color w:val="auto"/>
                <w:highlight w:val="none"/>
              </w:rPr>
              <w:t>7）基于百度AI开放平台的人工智能图像识别实验，实验数量≥5个，投标时提供详细实验清单；</w:t>
            </w:r>
          </w:p>
          <w:p>
            <w:pPr>
              <w:pStyle w:val="13"/>
              <w:snapToGrid w:val="0"/>
              <w:ind w:firstLine="420" w:firstLineChars="200"/>
              <w:rPr>
                <w:rFonts w:cs="宋体"/>
                <w:color w:val="auto"/>
                <w:highlight w:val="none"/>
              </w:rPr>
            </w:pPr>
            <w:r>
              <w:rPr>
                <w:rFonts w:hint="eastAsia" w:cs="宋体"/>
                <w:color w:val="auto"/>
                <w:highlight w:val="none"/>
              </w:rPr>
              <w:t>8）基于百度AI开放平台的人工智能语音识别实验；</w:t>
            </w:r>
          </w:p>
          <w:p>
            <w:pPr>
              <w:pStyle w:val="13"/>
              <w:snapToGrid w:val="0"/>
              <w:ind w:firstLine="420" w:firstLineChars="200"/>
              <w:rPr>
                <w:rFonts w:cs="宋体"/>
                <w:color w:val="auto"/>
                <w:highlight w:val="none"/>
              </w:rPr>
            </w:pPr>
            <w:r>
              <w:rPr>
                <w:rFonts w:hint="eastAsia" w:cs="宋体"/>
                <w:color w:val="auto"/>
                <w:highlight w:val="none"/>
              </w:rPr>
              <w:t>9）基于百度AI开放平台的人工智能人脸识别实验：提供至少包括人脸检测、人脸识别、改进返回值实验，实验数量≥4个，投标时提供详细实验清单；</w:t>
            </w:r>
          </w:p>
          <w:p>
            <w:pPr>
              <w:pStyle w:val="13"/>
              <w:snapToGrid w:val="0"/>
              <w:ind w:firstLine="420" w:firstLineChars="200"/>
              <w:rPr>
                <w:rFonts w:cs="宋体"/>
                <w:color w:val="auto"/>
                <w:highlight w:val="none"/>
              </w:rPr>
            </w:pPr>
            <w:r>
              <w:rPr>
                <w:rFonts w:hint="eastAsia" w:cs="宋体"/>
                <w:color w:val="auto"/>
                <w:highlight w:val="none"/>
              </w:rPr>
              <w:t>10）人工智能应用实验：提供可以离线训练并识别的人工智能应用实验源码，至少包括OpenCV图像采集以及处理、手写数字识别、车牌识别、目标检测、人脸识别、语音识别应用实验算法实验，实验数量≥7个，投标时提供详细实验清单。</w:t>
            </w:r>
          </w:p>
          <w:p>
            <w:pPr>
              <w:pStyle w:val="13"/>
              <w:snapToGrid w:val="0"/>
              <w:ind w:firstLine="420" w:firstLineChars="200"/>
              <w:rPr>
                <w:rFonts w:cs="宋体"/>
                <w:color w:val="auto"/>
                <w:highlight w:val="none"/>
              </w:rPr>
            </w:pPr>
            <w:r>
              <w:rPr>
                <w:rFonts w:hint="eastAsia" w:cs="宋体"/>
                <w:color w:val="auto"/>
                <w:highlight w:val="none"/>
              </w:rPr>
              <w:t>1、机器人地图构建</w:t>
            </w:r>
          </w:p>
          <w:p>
            <w:pPr>
              <w:pStyle w:val="13"/>
              <w:snapToGrid w:val="0"/>
              <w:ind w:firstLine="420" w:firstLineChars="200"/>
              <w:rPr>
                <w:rFonts w:cs="宋体"/>
                <w:color w:val="auto"/>
                <w:highlight w:val="none"/>
              </w:rPr>
            </w:pPr>
            <w:r>
              <w:rPr>
                <w:rFonts w:hint="eastAsia" w:cs="宋体"/>
                <w:color w:val="auto"/>
                <w:highlight w:val="none"/>
              </w:rPr>
              <w:t>在硬件上采用激光雷达和带码盘的直流减速电机来分别提供深度信息和里程计信息，利用ros中开源项目gmapping功能包，通过仿真软件rviz，实现室内slam地图构建。</w:t>
            </w:r>
          </w:p>
          <w:p>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2、Navigation自动导航</w:t>
            </w:r>
          </w:p>
          <w:p>
            <w:pPr>
              <w:widowControl w:val="0"/>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在已经构建完成的地图上，利用开源项目amcl定位功能包和move_base功能包，并采集雷达和里程计信息，使用仿真软件rviz，实现机器人的自动避障导航。</w:t>
            </w:r>
          </w:p>
          <w:p>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3、机器人手势识别</w:t>
            </w:r>
          </w:p>
          <w:p>
            <w:pPr>
              <w:widowControl w:val="0"/>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通过图像处理识别不同的手势。</w:t>
            </w:r>
          </w:p>
          <w:p>
            <w:pPr>
              <w:pStyle w:val="13"/>
              <w:snapToGrid w:val="0"/>
              <w:ind w:firstLine="420" w:firstLineChars="200"/>
              <w:rPr>
                <w:rFonts w:cs="宋体"/>
                <w:color w:val="auto"/>
                <w:highlight w:val="none"/>
              </w:rPr>
            </w:pPr>
            <w:r>
              <w:rPr>
                <w:rFonts w:hint="eastAsia" w:cs="宋体"/>
                <w:color w:val="auto"/>
                <w:highlight w:val="none"/>
              </w:rPr>
              <w:t>4、机器人目标跟踪</w:t>
            </w:r>
          </w:p>
          <w:p>
            <w:pPr>
              <w:pStyle w:val="13"/>
              <w:snapToGrid w:val="0"/>
              <w:ind w:firstLine="420" w:firstLineChars="200"/>
              <w:rPr>
                <w:rFonts w:cs="宋体"/>
                <w:color w:val="auto"/>
                <w:highlight w:val="none"/>
              </w:rPr>
            </w:pPr>
            <w:r>
              <w:rPr>
                <w:rFonts w:hint="eastAsia" w:cs="宋体"/>
                <w:color w:val="auto"/>
                <w:highlight w:val="none"/>
              </w:rPr>
              <w:t>选择跟踪区域，ROS机器人或者机械臂会对选择的目标进行实时跟踪，并可以查看目标在摄像头所在范围的区域。</w:t>
            </w:r>
          </w:p>
          <w:p>
            <w:pPr>
              <w:pStyle w:val="13"/>
              <w:snapToGrid w:val="0"/>
              <w:ind w:firstLine="420" w:firstLineChars="200"/>
              <w:rPr>
                <w:rFonts w:cs="宋体"/>
                <w:color w:val="auto"/>
                <w:highlight w:val="none"/>
              </w:rPr>
            </w:pPr>
            <w:r>
              <w:rPr>
                <w:rFonts w:hint="eastAsia" w:cs="宋体"/>
                <w:color w:val="auto"/>
                <w:highlight w:val="none"/>
              </w:rPr>
              <w:t>5、智能音响机器人控制</w:t>
            </w:r>
          </w:p>
          <w:p>
            <w:pPr>
              <w:pStyle w:val="13"/>
              <w:snapToGrid w:val="0"/>
              <w:ind w:firstLine="420" w:firstLineChars="200"/>
              <w:rPr>
                <w:rFonts w:cs="宋体"/>
                <w:color w:val="auto"/>
                <w:highlight w:val="none"/>
              </w:rPr>
            </w:pPr>
            <w:r>
              <w:rPr>
                <w:rFonts w:hint="eastAsia" w:cs="宋体"/>
                <w:color w:val="auto"/>
                <w:highlight w:val="none"/>
              </w:rPr>
              <w:t>通过麦克风阵列完成语音采集，将采集到的语音进行识别，并在识别完成对其识别到的文字信息进行提取，找到需要匹配的技能之后，一方面，对该技能进行控制下发，另一方面，将需要应对的文字进行语音合成，合成后播放，完成应答。</w:t>
            </w:r>
          </w:p>
          <w:p>
            <w:pPr>
              <w:pStyle w:val="13"/>
              <w:snapToGrid w:val="0"/>
              <w:ind w:firstLine="420" w:firstLineChars="200"/>
              <w:rPr>
                <w:rFonts w:cs="宋体"/>
                <w:color w:val="auto"/>
                <w:highlight w:val="none"/>
              </w:rPr>
            </w:pPr>
            <w:r>
              <w:rPr>
                <w:rFonts w:hint="eastAsia" w:cs="宋体"/>
                <w:color w:val="auto"/>
                <w:highlight w:val="none"/>
              </w:rPr>
              <w:t>6、遥控化机器人</w:t>
            </w:r>
          </w:p>
          <w:p>
            <w:pPr>
              <w:pStyle w:val="13"/>
              <w:snapToGrid w:val="0"/>
              <w:ind w:firstLine="420" w:firstLineChars="200"/>
              <w:rPr>
                <w:rFonts w:cs="宋体"/>
                <w:color w:val="auto"/>
                <w:highlight w:val="none"/>
              </w:rPr>
            </w:pPr>
            <w:r>
              <w:rPr>
                <w:rFonts w:hint="eastAsia" w:cs="宋体"/>
                <w:color w:val="auto"/>
                <w:highlight w:val="none"/>
              </w:rPr>
              <w:t>通过PS2手柄完成对ROS机器人以及机械臂的控制，包括ROS机器人基于麦克纳姆轮在平面上的360度运动，以及机械臂的运动抓取控制等等。</w:t>
            </w:r>
          </w:p>
          <w:p>
            <w:pPr>
              <w:pStyle w:val="13"/>
              <w:snapToGrid w:val="0"/>
              <w:ind w:firstLine="420" w:firstLineChars="200"/>
              <w:rPr>
                <w:rFonts w:cs="宋体"/>
                <w:color w:val="auto"/>
                <w:highlight w:val="none"/>
              </w:rPr>
            </w:pPr>
            <w:r>
              <w:rPr>
                <w:rFonts w:hint="eastAsia" w:cs="宋体"/>
                <w:color w:val="auto"/>
                <w:highlight w:val="none"/>
              </w:rPr>
              <w:t>7、实时跟踪全倾斜摄像机平台</w:t>
            </w:r>
          </w:p>
          <w:p>
            <w:pPr>
              <w:pStyle w:val="13"/>
              <w:snapToGrid w:val="0"/>
              <w:ind w:firstLine="420" w:firstLineChars="200"/>
              <w:rPr>
                <w:rFonts w:cs="宋体"/>
                <w:color w:val="auto"/>
                <w:highlight w:val="none"/>
              </w:rPr>
            </w:pPr>
            <w:r>
              <w:rPr>
                <w:rFonts w:hint="eastAsia" w:cs="宋体"/>
                <w:color w:val="auto"/>
                <w:highlight w:val="none"/>
              </w:rPr>
              <w:t>通过摄像头捕获拍摄场景，用户选择HSV颜色区间，可以对某物体进行颜色背景分割，运算器可对该物体进行位置标注并控制机械臂对其进行跟踪，使其一直保持处于摄像头捕获场景的正中心。</w:t>
            </w:r>
          </w:p>
          <w:p>
            <w:pPr>
              <w:pStyle w:val="13"/>
              <w:snapToGrid w:val="0"/>
              <w:ind w:firstLine="420" w:firstLineChars="200"/>
              <w:rPr>
                <w:rFonts w:cs="宋体"/>
                <w:color w:val="auto"/>
                <w:highlight w:val="none"/>
              </w:rPr>
            </w:pPr>
            <w:r>
              <w:rPr>
                <w:rFonts w:hint="eastAsia" w:cs="宋体"/>
                <w:color w:val="auto"/>
                <w:highlight w:val="none"/>
              </w:rPr>
              <w:t>8、博物馆引导机器人</w:t>
            </w:r>
          </w:p>
          <w:p>
            <w:pPr>
              <w:pStyle w:val="13"/>
              <w:snapToGrid w:val="0"/>
              <w:ind w:firstLine="420" w:firstLineChars="200"/>
              <w:rPr>
                <w:rFonts w:cs="宋体"/>
                <w:color w:val="auto"/>
                <w:highlight w:val="none"/>
              </w:rPr>
            </w:pPr>
            <w:r>
              <w:rPr>
                <w:rFonts w:hint="eastAsia" w:cs="宋体"/>
                <w:color w:val="auto"/>
                <w:highlight w:val="none"/>
              </w:rPr>
              <w:t>可在博物馆或者会场进行引导导航，在博物馆中，可设置A、B、C三个展柜的坐标系，该坐标系的原点是固定的，为机器人出发点。在用户选择去哪个展柜进行参观后（三个展柜可同时选择或者只选择某些展柜，并且顺序可调换），有两种方式对用户进行引导：</w:t>
            </w:r>
          </w:p>
          <w:p>
            <w:pPr>
              <w:pStyle w:val="13"/>
              <w:snapToGrid w:val="0"/>
              <w:ind w:firstLine="420" w:firstLineChars="200"/>
              <w:rPr>
                <w:rFonts w:cs="宋体"/>
                <w:color w:val="auto"/>
                <w:highlight w:val="none"/>
              </w:rPr>
            </w:pPr>
            <w:r>
              <w:rPr>
                <w:rFonts w:hint="eastAsia" w:cs="宋体"/>
                <w:color w:val="auto"/>
                <w:highlight w:val="none"/>
              </w:rPr>
              <w:t>1）、定距离方式，该方式相对比较简单，只作为学生学习坐标系变换和机器人传感器数据处理时使用，该方式可通过笛卡尔坐标系与极坐标系的转换，不通过地图构建与导航的方式直接与传感器数据进行交互，实现引导作用。</w:t>
            </w:r>
          </w:p>
          <w:p>
            <w:pPr>
              <w:pStyle w:val="13"/>
              <w:snapToGrid w:val="0"/>
              <w:ind w:firstLine="420" w:firstLineChars="200"/>
              <w:rPr>
                <w:rFonts w:cs="宋体"/>
                <w:color w:val="auto"/>
                <w:highlight w:val="none"/>
              </w:rPr>
            </w:pPr>
            <w:r>
              <w:rPr>
                <w:rFonts w:hint="eastAsia" w:cs="宋体"/>
                <w:color w:val="auto"/>
                <w:highlight w:val="none"/>
              </w:rPr>
              <w:t>2）、定点方式：该方式需要对博物馆或者会场的地图进行构建，构建后选择要参观的展柜，机器人会根据构建好的地图与自身的坐标实现引导作用。</w:t>
            </w:r>
          </w:p>
          <w:p>
            <w:pPr>
              <w:pStyle w:val="13"/>
              <w:snapToGrid w:val="0"/>
              <w:ind w:firstLine="420" w:firstLineChars="200"/>
              <w:rPr>
                <w:rFonts w:cs="宋体"/>
                <w:color w:val="auto"/>
                <w:highlight w:val="none"/>
              </w:rPr>
            </w:pPr>
            <w:r>
              <w:rPr>
                <w:rFonts w:hint="eastAsia" w:cs="宋体"/>
                <w:color w:val="auto"/>
                <w:highlight w:val="none"/>
              </w:rPr>
              <w:t>机器人在引导过程中会实现语音播报，提示用户到达某个点或者要前往什么地点。播报内容可修改以使用不同的场景，在引导完毕后，机器人会返回出发点等待下次引导。</w:t>
            </w:r>
          </w:p>
          <w:p>
            <w:pPr>
              <w:pStyle w:val="13"/>
              <w:snapToGrid w:val="0"/>
              <w:ind w:firstLine="420" w:firstLineChars="200"/>
              <w:rPr>
                <w:rFonts w:cs="宋体"/>
                <w:color w:val="auto"/>
                <w:highlight w:val="none"/>
              </w:rPr>
            </w:pPr>
            <w:r>
              <w:rPr>
                <w:rFonts w:hint="eastAsia" w:cs="宋体"/>
                <w:color w:val="auto"/>
                <w:highlight w:val="none"/>
              </w:rPr>
              <w:t>9、餐厅送餐机器人</w:t>
            </w:r>
          </w:p>
          <w:p>
            <w:pPr>
              <w:pStyle w:val="13"/>
              <w:snapToGrid w:val="0"/>
              <w:ind w:firstLine="420" w:firstLineChars="200"/>
              <w:rPr>
                <w:rFonts w:cs="宋体"/>
                <w:color w:val="auto"/>
                <w:highlight w:val="none"/>
              </w:rPr>
            </w:pPr>
            <w:r>
              <w:rPr>
                <w:rFonts w:hint="eastAsia" w:cs="宋体"/>
                <w:color w:val="auto"/>
                <w:highlight w:val="none"/>
              </w:rPr>
              <w:t>可在餐厅中实现机器人送餐，该项目将AI+ROS+机械臂结合起来，以厨房为第一视角，在完成食物制作后，将食物放到机器人上，机器人会根据食物上的餐桌二维码判断送达地点，并可通过两种方式对食物进行配送：</w:t>
            </w:r>
          </w:p>
          <w:p>
            <w:pPr>
              <w:pStyle w:val="13"/>
              <w:snapToGrid w:val="0"/>
              <w:ind w:firstLine="420" w:firstLineChars="200"/>
              <w:rPr>
                <w:rFonts w:cs="宋体"/>
                <w:color w:val="auto"/>
                <w:highlight w:val="none"/>
              </w:rPr>
            </w:pPr>
            <w:r>
              <w:rPr>
                <w:rFonts w:hint="eastAsia" w:cs="宋体"/>
                <w:color w:val="auto"/>
                <w:highlight w:val="none"/>
              </w:rPr>
              <w:t>1）、定距离的方式：该方式通过运算器与传感器的数据交互与处理，实现食物配送。</w:t>
            </w:r>
          </w:p>
          <w:p>
            <w:pPr>
              <w:pStyle w:val="13"/>
              <w:snapToGrid w:val="0"/>
              <w:ind w:firstLine="420" w:firstLineChars="200"/>
              <w:rPr>
                <w:rFonts w:cs="宋体"/>
                <w:color w:val="auto"/>
                <w:highlight w:val="none"/>
              </w:rPr>
            </w:pPr>
            <w:r>
              <w:rPr>
                <w:rFonts w:hint="eastAsia" w:cs="宋体"/>
                <w:color w:val="auto"/>
                <w:highlight w:val="none"/>
              </w:rPr>
              <w:t>2）、定点方式：该方式可提前构建餐厅地图，在判断到达地点后完成自动导航的食物配送。</w:t>
            </w:r>
          </w:p>
          <w:p>
            <w:pPr>
              <w:pStyle w:val="13"/>
              <w:snapToGrid w:val="0"/>
              <w:ind w:firstLine="420" w:firstLineChars="200"/>
              <w:rPr>
                <w:rFonts w:cs="宋体"/>
                <w:color w:val="auto"/>
                <w:highlight w:val="none"/>
              </w:rPr>
            </w:pPr>
            <w:r>
              <w:rPr>
                <w:rFonts w:hint="eastAsia" w:cs="宋体"/>
                <w:color w:val="auto"/>
                <w:highlight w:val="none"/>
              </w:rPr>
              <w:t>配送到达后，机械臂会从机器人上将食物取下，并进行语音提示，语音可修改以适配不同场景，在语音提示后，机器人会返回厨房等待下次配送。</w:t>
            </w:r>
          </w:p>
          <w:p>
            <w:pPr>
              <w:pStyle w:val="13"/>
              <w:snapToGrid w:val="0"/>
              <w:ind w:firstLine="422" w:firstLineChars="200"/>
              <w:rPr>
                <w:rFonts w:cs="宋体"/>
                <w:b/>
                <w:color w:val="auto"/>
                <w:highlight w:val="none"/>
              </w:rPr>
            </w:pPr>
            <w:r>
              <w:rPr>
                <w:rFonts w:hint="eastAsia" w:cs="宋体"/>
                <w:b/>
                <w:color w:val="auto"/>
                <w:highlight w:val="none"/>
              </w:rPr>
              <w:t>四、其它</w:t>
            </w:r>
          </w:p>
          <w:p>
            <w:pPr>
              <w:pStyle w:val="13"/>
              <w:numPr>
                <w:ilvl w:val="0"/>
                <w:numId w:val="7"/>
              </w:numPr>
              <w:snapToGrid w:val="0"/>
              <w:ind w:left="0" w:firstLine="420" w:firstLineChars="200"/>
              <w:rPr>
                <w:rFonts w:cs="宋体"/>
                <w:color w:val="auto"/>
                <w:highlight w:val="none"/>
              </w:rPr>
            </w:pPr>
            <w:r>
              <w:rPr>
                <w:rFonts w:hint="eastAsia" w:cs="宋体"/>
                <w:color w:val="auto"/>
                <w:highlight w:val="none"/>
              </w:rPr>
              <w:t>为辅助老师课程建设，制造商需有丰富的线上线下培训经验，有能力提供至少4个月嵌入式人工智能的线下正规培训名额；能够提供在线课程账号至少2个，每个账号应不少于100学时；（投标文件中提供在线课程网址，并提供截图证明）</w:t>
            </w:r>
          </w:p>
          <w:p>
            <w:pPr>
              <w:pStyle w:val="13"/>
              <w:numPr>
                <w:ilvl w:val="0"/>
                <w:numId w:val="7"/>
              </w:numPr>
              <w:snapToGrid w:val="0"/>
              <w:ind w:left="0" w:firstLine="420" w:firstLineChars="200"/>
              <w:rPr>
                <w:rFonts w:cs="宋体"/>
                <w:color w:val="auto"/>
                <w:highlight w:val="none"/>
              </w:rPr>
            </w:pPr>
            <w:r>
              <w:rPr>
                <w:rFonts w:hint="eastAsia" w:cs="宋体"/>
                <w:color w:val="auto"/>
                <w:highlight w:val="none"/>
              </w:rPr>
              <w:t>制造商需有良好的产品研发质量体系保障。</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left"/>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none"/>
                <w:lang w:val="en-US" w:eastAsia="zh-CN" w:bidi="ar-SA"/>
              </w:rPr>
              <w:t>1套</w:t>
            </w:r>
          </w:p>
        </w:tc>
        <w:tc>
          <w:tcPr>
            <w:tcW w:w="698" w:type="dxa"/>
            <w:tcBorders>
              <w:top w:val="single" w:color="auto" w:sz="4" w:space="0"/>
              <w:left w:val="nil"/>
              <w:bottom w:val="single" w:color="auto" w:sz="4" w:space="0"/>
              <w:right w:val="single" w:color="auto" w:sz="4" w:space="0"/>
            </w:tcBorders>
            <w:noWrap w:val="0"/>
            <w:vAlign w:val="center"/>
          </w:tcPr>
          <w:p>
            <w:pPr>
              <w:widowControl w:val="0"/>
              <w:snapToGrid w:val="0"/>
              <w:spacing w:before="156" w:beforeLines="50" w:after="156" w:afterLines="50" w:line="240" w:lineRule="auto"/>
              <w:ind w:left="0" w:leftChars="0" w:firstLine="0"/>
              <w:jc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00"/>
              </w:tabs>
              <w:spacing w:before="120"/>
              <w:jc w:val="left"/>
              <w:textAlignment w:val="center"/>
              <w:rPr>
                <w:rFonts w:hint="default"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21</w:t>
            </w:r>
          </w:p>
        </w:tc>
        <w:tc>
          <w:tcPr>
            <w:tcW w:w="2415" w:type="dxa"/>
            <w:gridSpan w:val="2"/>
            <w:tcBorders>
              <w:top w:val="single" w:color="auto" w:sz="4" w:space="0"/>
              <w:left w:val="nil"/>
              <w:bottom w:val="single" w:color="auto" w:sz="4" w:space="0"/>
              <w:right w:val="single" w:color="auto" w:sz="4" w:space="0"/>
            </w:tcBorders>
            <w:noWrap w:val="0"/>
            <w:vAlign w:val="center"/>
          </w:tcPr>
          <w:p>
            <w:pPr>
              <w:tabs>
                <w:tab w:val="center" w:pos="1099"/>
              </w:tabs>
              <w:spacing w:before="163" w:after="16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可编程控制器</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可编程控制器实验系统</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22</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触摸屏组件</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性能不低于KTP700 Basic PN 7寸液晶显示，65536色，PROFINET通讯接口，带8个按键，用户内存为10MB，带一个USB接口，报警数量1000个，报警类别为32个，支持画面100张，变量800个，支持配方和归档处理；</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23</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触摸屏组件</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采用MCGS TPC7062Ti触摸屏,以先进的Cortex-A8 CPU为核心,主频600MHz,7英寸高亮度TFT液晶显示屏（分辨率800×480）支持RS485和以太网通讯。</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24</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变频器组件</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输入电压AC220V 0.37KW工业变频器，集成4路数字量输入，2路模拟量输入,支持RS485通讯，集成操作面板。配WDJ26三相电动机，输入电压AC380V</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25</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伺服驱动组件</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伺服驱动用于控制丝杆运动，选用交流伺服驱动，工作电压AC220V，输出功率200W。采用数字信号处理器（DSP）作为控制核心，智能功率模块（IPM）内部集成了驱动电路,同时具有过电压、过电流、过热、欠压等故障检测保护电路，具有较强的温度、湿度、振动等环境适应能力和很强的抗干扰的能力；支持位置、速度和力矩三种方式伺服马达进行控制。</w:t>
            </w:r>
          </w:p>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（2）丝杆有效行程200mm，丝杆直径12mm。丝杆导程4mm。</w:t>
            </w:r>
          </w:p>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（3）配置3个光电接近传感器。DC24V供电，NPN输出。（4）左右限位配置2个行程开关作为保护。</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26</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可编程控制器</w:t>
            </w:r>
            <w:r>
              <w:rPr>
                <w:rFonts w:hint="eastAsia" w:ascii="宋体" w:hAnsi="宋体" w:eastAsia="宋体" w:cs="宋体"/>
                <w:color w:val="auto"/>
                <w:szCs w:val="21"/>
                <w:highlight w:val="none"/>
                <w:lang w:eastAsia="zh-CN"/>
              </w:rPr>
              <w:t>控制终端</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主机CPU I5以上，主频不低于3.2GHz，ROM内存不低于8G ,最好带独显，显卡内存不低于2G，操作系统WIN10 64位。</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25套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27</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可调直流稳压电源</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0~60DCV,0~10A</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仿宋_GB2312" w:hAnsi="@仿宋_GB2312" w:eastAsia="@仿宋_GB2312" w:cs="@仿宋_GB2312"/>
                <w:color w:val="auto"/>
                <w:szCs w:val="20"/>
                <w:highlight w:val="none"/>
                <w:lang w:val="en-US" w:eastAsia="zh-CN"/>
              </w:rPr>
            </w:pPr>
            <w:r>
              <w:rPr>
                <w:rFonts w:hint="eastAsia" w:ascii="@仿宋_GB2312" w:hAnsi="@仿宋_GB2312" w:eastAsia="@仿宋_GB2312" w:cs="@仿宋_GB2312"/>
                <w:color w:val="auto"/>
                <w:szCs w:val="20"/>
                <w:highlight w:val="none"/>
                <w:lang w:val="en-US" w:eastAsia="zh-CN"/>
              </w:rPr>
              <w:t>28</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控制小车</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供电：DC12V；</w:t>
            </w:r>
          </w:p>
          <w:p>
            <w:pPr>
              <w:spacing w:before="163" w:after="163"/>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带编码器信号电机控制接口：4个；舵机控制接口：6个；</w:t>
            </w:r>
          </w:p>
          <w:p>
            <w:pPr>
              <w:spacing w:before="163" w:after="163"/>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光电传感器接口：1个；</w:t>
            </w:r>
          </w:p>
          <w:p>
            <w:pPr>
              <w:spacing w:before="163" w:after="163"/>
              <w:ind w:left="420" w:left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激光扫描/二维码扫码接口：1个；与口袋机通信接口IDC34 x 2；尺寸：134mm x 92mm。</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1个</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bl>
    <w:p>
      <w:pPr>
        <w:spacing w:line="360" w:lineRule="auto"/>
        <w:rPr>
          <w:rFonts w:ascii="宋体" w:hAnsi="宋体" w:eastAsia="宋体"/>
          <w:b/>
          <w:bCs/>
          <w:sz w:val="24"/>
          <w:szCs w:val="18"/>
        </w:rPr>
      </w:pPr>
      <w:bookmarkStart w:id="0" w:name="_GoBack"/>
      <w:bookmarkEnd w:id="0"/>
    </w:p>
    <w:p>
      <w:pPr>
        <w:spacing w:line="360" w:lineRule="auto"/>
        <w:ind w:firstLine="437"/>
        <w:rPr>
          <w:rFonts w:ascii="宋体" w:hAnsi="宋体" w:eastAsia="宋体"/>
          <w:b/>
          <w:bCs/>
          <w:sz w:val="24"/>
          <w:szCs w:val="18"/>
        </w:rPr>
      </w:pPr>
      <w:r>
        <w:rPr>
          <w:rFonts w:hint="eastAsia" w:ascii="宋体" w:hAnsi="宋体" w:eastAsia="宋体"/>
          <w:b/>
          <w:bCs/>
          <w:sz w:val="24"/>
          <w:szCs w:val="18"/>
        </w:rPr>
        <w:t>三、报价要求</w:t>
      </w:r>
    </w:p>
    <w:p>
      <w:pPr>
        <w:spacing w:line="360" w:lineRule="auto"/>
        <w:ind w:firstLine="437"/>
        <w:rPr>
          <w:rFonts w:ascii="宋体" w:hAnsi="宋体" w:eastAsia="宋体"/>
          <w:bCs/>
          <w:sz w:val="24"/>
          <w:szCs w:val="18"/>
        </w:rPr>
      </w:pPr>
      <w:r>
        <w:rPr>
          <w:rFonts w:hint="eastAsia" w:ascii="宋体" w:hAnsi="宋体" w:eastAsia="宋体"/>
          <w:bCs/>
          <w:sz w:val="24"/>
          <w:szCs w:val="18"/>
        </w:rPr>
        <w:t>投标报价包含完成本项目所产生的一切费用，履行期间采购人不再追加任何费用，投标人应综合考虑报价风险。</w:t>
      </w:r>
    </w:p>
    <w:p>
      <w:pPr>
        <w:rPr>
          <w:rFonts w:hint="eastAsia" w:ascii="宋体" w:hAnsi="宋体" w:eastAsia="宋体"/>
          <w:sz w:val="24"/>
        </w:rPr>
      </w:pPr>
      <w:r>
        <w:rPr>
          <w:rFonts w:hint="eastAsia" w:ascii="宋体" w:hAnsi="宋体" w:eastAsia="宋体"/>
          <w:sz w:val="24"/>
        </w:rPr>
        <w:br w:type="page"/>
      </w:r>
    </w:p>
    <w:p>
      <w:pPr>
        <w:spacing w:line="360" w:lineRule="auto"/>
        <w:jc w:val="center"/>
        <w:outlineLvl w:val="1"/>
        <w:rPr>
          <w:rFonts w:hint="eastAsia" w:ascii="宋体" w:hAnsi="宋体" w:eastAsia="宋体"/>
          <w:b/>
          <w:sz w:val="28"/>
          <w:lang w:eastAsia="zh-CN"/>
        </w:rPr>
      </w:pPr>
      <w:r>
        <w:rPr>
          <w:rFonts w:hint="eastAsia" w:ascii="宋体" w:hAnsi="宋体" w:eastAsia="宋体"/>
          <w:b/>
          <w:sz w:val="28"/>
          <w:lang w:eastAsia="zh-CN"/>
        </w:rPr>
        <w:t>评分办法</w:t>
      </w:r>
    </w:p>
    <w:p>
      <w:pPr>
        <w:spacing w:line="360" w:lineRule="auto"/>
        <w:ind w:firstLine="435"/>
        <w:rPr>
          <w:rFonts w:ascii="宋体" w:hAnsi="宋体" w:eastAsia="宋体"/>
          <w:sz w:val="24"/>
        </w:rPr>
      </w:pPr>
      <w:r>
        <w:rPr>
          <w:rFonts w:hint="eastAsia" w:ascii="宋体" w:hAnsi="宋体" w:eastAsia="宋体"/>
          <w:sz w:val="24"/>
        </w:rPr>
        <w:t>本项目综合评分满分为1</w:t>
      </w:r>
      <w:r>
        <w:rPr>
          <w:rFonts w:ascii="宋体" w:hAnsi="宋体" w:eastAsia="宋体"/>
          <w:sz w:val="24"/>
        </w:rPr>
        <w:t>00</w:t>
      </w:r>
      <w:r>
        <w:rPr>
          <w:rFonts w:hint="eastAsia" w:ascii="宋体" w:hAnsi="宋体" w:eastAsia="宋体"/>
          <w:sz w:val="24"/>
        </w:rPr>
        <w:t>分，其中：技术资信分值占总分值的权重为</w:t>
      </w:r>
      <w:r>
        <w:rPr>
          <w:rFonts w:hint="eastAsia" w:ascii="宋体" w:hAnsi="宋体" w:eastAsia="宋体"/>
          <w:sz w:val="24"/>
          <w:u w:val="single"/>
        </w:rPr>
        <w:t>70</w:t>
      </w:r>
      <w:r>
        <w:rPr>
          <w:rFonts w:ascii="宋体" w:hAnsi="宋体" w:eastAsia="宋体"/>
          <w:sz w:val="24"/>
        </w:rPr>
        <w:t>%，价格分值占总分值的权重为</w:t>
      </w:r>
      <w:r>
        <w:rPr>
          <w:rFonts w:hint="eastAsia" w:ascii="宋体" w:hAnsi="宋体" w:eastAsia="宋体"/>
          <w:sz w:val="24"/>
          <w:u w:val="single"/>
        </w:rPr>
        <w:t>30</w:t>
      </w:r>
      <w:r>
        <w:rPr>
          <w:rFonts w:ascii="宋体" w:hAnsi="宋体" w:eastAsia="宋体"/>
          <w:sz w:val="24"/>
        </w:rPr>
        <w:t>%。具体评分细则如下：</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720"/>
        <w:gridCol w:w="4033"/>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 w:val="24"/>
              </w:rPr>
            </w:pPr>
            <w:r>
              <w:rPr>
                <w:rFonts w:hint="eastAsia" w:ascii="宋体" w:hAnsi="宋体" w:eastAsia="宋体"/>
                <w:b/>
                <w:bCs/>
                <w:sz w:val="24"/>
              </w:rPr>
              <w:t>类别</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 w:val="24"/>
              </w:rPr>
            </w:pPr>
            <w:r>
              <w:rPr>
                <w:rFonts w:hint="eastAsia" w:ascii="宋体" w:hAnsi="宋体" w:eastAsia="宋体"/>
                <w:b/>
                <w:bCs/>
                <w:sz w:val="24"/>
              </w:rPr>
              <w:t>评分内容</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 w:val="24"/>
              </w:rPr>
            </w:pPr>
            <w:r>
              <w:rPr>
                <w:rFonts w:hint="eastAsia" w:ascii="宋体" w:hAnsi="宋体" w:eastAsia="宋体"/>
                <w:b/>
                <w:bCs/>
                <w:sz w:val="24"/>
              </w:rPr>
              <w:t>评分标准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 w:val="24"/>
              </w:rPr>
            </w:pPr>
            <w:r>
              <w:rPr>
                <w:rFonts w:hint="eastAsia" w:ascii="宋体" w:hAnsi="宋体" w:eastAsia="宋体"/>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技术资信分</w:t>
            </w:r>
          </w:p>
          <w:p>
            <w:pPr>
              <w:spacing w:line="360" w:lineRule="auto"/>
              <w:jc w:val="center"/>
              <w:rPr>
                <w:rFonts w:ascii="宋体" w:hAnsi="宋体" w:eastAsia="宋体"/>
                <w:b/>
                <w:bCs/>
                <w:szCs w:val="21"/>
              </w:rPr>
            </w:pPr>
            <w:r>
              <w:rPr>
                <w:rFonts w:hint="eastAsia" w:ascii="宋体" w:hAnsi="宋体" w:eastAsia="宋体"/>
                <w:szCs w:val="21"/>
              </w:rPr>
              <w:t>（</w:t>
            </w:r>
            <w:r>
              <w:rPr>
                <w:rFonts w:hint="eastAsia" w:ascii="宋体" w:hAnsi="宋体" w:eastAsia="宋体"/>
                <w:szCs w:val="21"/>
                <w:u w:val="single"/>
              </w:rPr>
              <w:t>70</w:t>
            </w:r>
            <w:r>
              <w:rPr>
                <w:rFonts w:hint="eastAsia" w:ascii="宋体" w:hAnsi="宋体" w:eastAsia="宋体"/>
                <w:szCs w:val="21"/>
              </w:rPr>
              <w:t>分）</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Cs/>
                <w:szCs w:val="21"/>
              </w:rPr>
            </w:pPr>
            <w:r>
              <w:rPr>
                <w:rFonts w:hint="eastAsia" w:ascii="宋体" w:hAnsi="宋体" w:eastAsia="宋体"/>
                <w:szCs w:val="21"/>
              </w:rPr>
              <w:t>技术参数及要求</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ascii="宋体" w:hAnsi="宋体" w:eastAsia="宋体"/>
                <w:bCs/>
                <w:szCs w:val="21"/>
              </w:rPr>
            </w:pPr>
            <w:r>
              <w:rPr>
                <w:rFonts w:hint="eastAsia" w:ascii="宋体" w:hAnsi="宋体" w:eastAsia="宋体"/>
                <w:bCs/>
                <w:szCs w:val="21"/>
              </w:rPr>
              <w:t>根据所投产品对招标文件的技术参数及要求响应情况进行打分：</w:t>
            </w:r>
          </w:p>
          <w:p>
            <w:pPr>
              <w:spacing w:line="312" w:lineRule="auto"/>
              <w:jc w:val="left"/>
              <w:rPr>
                <w:rFonts w:ascii="宋体" w:hAnsi="宋体" w:eastAsia="宋体"/>
                <w:bCs/>
                <w:szCs w:val="21"/>
              </w:rPr>
            </w:pPr>
            <w:r>
              <w:rPr>
                <w:rFonts w:hint="eastAsia" w:ascii="宋体" w:hAnsi="宋体" w:eastAsia="宋体"/>
                <w:bCs/>
                <w:szCs w:val="21"/>
              </w:rPr>
              <w:t>完全满足或优于招标文件要求的，得满分 35 分；</w:t>
            </w:r>
          </w:p>
          <w:p>
            <w:pPr>
              <w:spacing w:line="312" w:lineRule="auto"/>
              <w:jc w:val="left"/>
              <w:rPr>
                <w:rFonts w:ascii="宋体" w:hAnsi="宋体" w:eastAsia="宋体"/>
                <w:bCs/>
                <w:szCs w:val="21"/>
              </w:rPr>
            </w:pPr>
            <w:r>
              <w:rPr>
                <w:rFonts w:hint="eastAsia" w:ascii="宋体" w:hAnsi="宋体" w:eastAsia="宋体"/>
                <w:bCs/>
                <w:szCs w:val="21"/>
              </w:rPr>
              <w:t>采购需求中每一项加“★”标志的重要响应指标不满足或负偏离扣3分，有五项及以上不满足，则“</w:t>
            </w:r>
            <w:r>
              <w:rPr>
                <w:rFonts w:hint="eastAsia" w:ascii="宋体" w:hAnsi="宋体" w:eastAsia="宋体"/>
                <w:szCs w:val="21"/>
              </w:rPr>
              <w:t>技术参数及要求</w:t>
            </w:r>
            <w:r>
              <w:rPr>
                <w:rFonts w:hint="eastAsia" w:ascii="宋体" w:hAnsi="宋体" w:eastAsia="宋体"/>
                <w:bCs/>
                <w:szCs w:val="21"/>
              </w:rPr>
              <w:t>”得0分；</w:t>
            </w:r>
          </w:p>
          <w:p>
            <w:pPr>
              <w:spacing w:line="312" w:lineRule="auto"/>
              <w:jc w:val="left"/>
              <w:rPr>
                <w:rFonts w:ascii="宋体" w:hAnsi="宋体" w:eastAsia="宋体"/>
                <w:bCs/>
                <w:szCs w:val="21"/>
              </w:rPr>
            </w:pPr>
            <w:r>
              <w:rPr>
                <w:rFonts w:hint="eastAsia" w:ascii="宋体" w:hAnsi="宋体" w:eastAsia="宋体"/>
                <w:bCs/>
                <w:szCs w:val="21"/>
              </w:rPr>
              <w:t xml:space="preserve">采购需求中每一项非“★”标志的响应指标不满足或负偏离扣1分，扣完为止。 </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35</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供货安装（调试）方案</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ascii="宋体" w:hAnsi="宋体" w:eastAsia="宋体"/>
                <w:szCs w:val="21"/>
              </w:rPr>
            </w:pPr>
            <w:r>
              <w:rPr>
                <w:rFonts w:hint="eastAsia" w:ascii="宋体" w:hAnsi="宋体" w:eastAsia="宋体"/>
                <w:szCs w:val="21"/>
              </w:rPr>
              <w:t>根据投标人提供的针对本项目的供货（调试）方案，由评委进行综合评审。方案包括但不限于项目供货计划、供货安装措施</w:t>
            </w:r>
            <w:r>
              <w:rPr>
                <w:rFonts w:hint="eastAsia" w:ascii="宋体" w:hAnsi="宋体" w:eastAsia="宋体" w:cs="宋体"/>
              </w:rPr>
              <w:t>及系统技术方案</w:t>
            </w:r>
            <w:r>
              <w:rPr>
                <w:rFonts w:hint="eastAsia" w:ascii="宋体" w:hAnsi="宋体" w:eastAsia="宋体"/>
                <w:szCs w:val="21"/>
              </w:rPr>
              <w:t>等情况。</w:t>
            </w:r>
          </w:p>
          <w:p>
            <w:pPr>
              <w:spacing w:line="312" w:lineRule="auto"/>
              <w:jc w:val="left"/>
              <w:rPr>
                <w:rFonts w:ascii="宋体" w:hAnsi="宋体" w:eastAsia="宋体"/>
                <w:szCs w:val="21"/>
              </w:rPr>
            </w:pPr>
            <w:r>
              <w:rPr>
                <w:rFonts w:hint="eastAsia" w:ascii="宋体" w:hAnsi="宋体" w:eastAsia="宋体"/>
                <w:szCs w:val="21"/>
              </w:rPr>
              <w:t>1、供货计划科学合理，供货安装措施切实可行，</w:t>
            </w:r>
            <w:r>
              <w:rPr>
                <w:rFonts w:hint="eastAsia" w:ascii="宋体" w:hAnsi="宋体" w:eastAsia="宋体" w:cs="宋体"/>
              </w:rPr>
              <w:t>方案描述全面完整</w:t>
            </w:r>
            <w:r>
              <w:rPr>
                <w:rFonts w:hint="eastAsia" w:ascii="宋体" w:hAnsi="宋体" w:eastAsia="宋体"/>
                <w:szCs w:val="21"/>
              </w:rPr>
              <w:t>的，得8分；</w:t>
            </w:r>
          </w:p>
          <w:p>
            <w:pPr>
              <w:spacing w:line="312" w:lineRule="auto"/>
              <w:jc w:val="left"/>
              <w:rPr>
                <w:rFonts w:ascii="宋体" w:hAnsi="宋体" w:eastAsia="宋体"/>
                <w:szCs w:val="21"/>
              </w:rPr>
            </w:pPr>
            <w:r>
              <w:rPr>
                <w:rFonts w:hint="eastAsia" w:ascii="宋体" w:hAnsi="宋体" w:eastAsia="宋体"/>
                <w:szCs w:val="21"/>
              </w:rPr>
              <w:t>2、供货计划基本满足项目需求，具体安装调试措施基本能够满足项目需求，</w:t>
            </w:r>
            <w:r>
              <w:rPr>
                <w:rFonts w:hint="eastAsia" w:ascii="宋体" w:hAnsi="宋体" w:eastAsia="宋体" w:cs="宋体"/>
              </w:rPr>
              <w:t>方案较完整</w:t>
            </w:r>
            <w:r>
              <w:rPr>
                <w:rFonts w:hint="eastAsia" w:ascii="宋体" w:hAnsi="宋体" w:eastAsia="宋体"/>
                <w:szCs w:val="21"/>
              </w:rPr>
              <w:t>的，得5分；</w:t>
            </w:r>
          </w:p>
          <w:p>
            <w:pPr>
              <w:spacing w:line="312" w:lineRule="auto"/>
              <w:jc w:val="left"/>
              <w:rPr>
                <w:rFonts w:ascii="宋体" w:hAnsi="宋体" w:eastAsia="宋体"/>
                <w:szCs w:val="21"/>
              </w:rPr>
            </w:pPr>
            <w:r>
              <w:rPr>
                <w:rFonts w:hint="eastAsia" w:ascii="宋体" w:hAnsi="宋体" w:eastAsia="宋体"/>
                <w:szCs w:val="21"/>
              </w:rPr>
              <w:t>3、供货计划、安装调试措施、技术方案有待进一步完善的，得2分；</w:t>
            </w:r>
          </w:p>
          <w:p>
            <w:pPr>
              <w:spacing w:line="312" w:lineRule="auto"/>
              <w:jc w:val="left"/>
              <w:rPr>
                <w:rFonts w:ascii="宋体" w:hAnsi="宋体" w:eastAsia="宋体"/>
                <w:szCs w:val="21"/>
              </w:rPr>
            </w:pPr>
            <w:r>
              <w:rPr>
                <w:rFonts w:hint="eastAsia" w:ascii="宋体" w:hAnsi="宋体" w:eastAsia="宋体"/>
                <w:szCs w:val="21"/>
              </w:rPr>
              <w:t>4、差或未提供不得分。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8</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售后服务与维保方案</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ascii="宋体" w:hAnsi="宋体" w:eastAsia="宋体"/>
                <w:szCs w:val="21"/>
              </w:rPr>
            </w:pPr>
            <w:r>
              <w:rPr>
                <w:rFonts w:hint="eastAsia" w:ascii="宋体" w:hAnsi="宋体" w:eastAsia="宋体"/>
                <w:szCs w:val="21"/>
              </w:rPr>
              <w:t>根据投标人提供的售后服务方案，由评</w:t>
            </w:r>
          </w:p>
          <w:p>
            <w:pPr>
              <w:spacing w:line="312" w:lineRule="auto"/>
              <w:jc w:val="left"/>
              <w:rPr>
                <w:rFonts w:ascii="宋体" w:hAnsi="宋体" w:eastAsia="宋体"/>
                <w:szCs w:val="21"/>
              </w:rPr>
            </w:pPr>
            <w:r>
              <w:rPr>
                <w:rFonts w:hint="eastAsia" w:ascii="宋体" w:hAnsi="宋体" w:eastAsia="宋体"/>
                <w:szCs w:val="21"/>
              </w:rPr>
              <w:t>委进行综合评审：</w:t>
            </w:r>
          </w:p>
          <w:p>
            <w:pPr>
              <w:spacing w:line="312" w:lineRule="auto"/>
              <w:jc w:val="left"/>
              <w:rPr>
                <w:rFonts w:ascii="宋体" w:hAnsi="宋体" w:eastAsia="宋体"/>
                <w:szCs w:val="21"/>
              </w:rPr>
            </w:pPr>
            <w:r>
              <w:rPr>
                <w:rFonts w:hint="eastAsia" w:ascii="宋体" w:hAnsi="宋体" w:eastAsia="宋体"/>
                <w:szCs w:val="21"/>
              </w:rPr>
              <w:t>1、人员数量满足项目需求，安排合理，</w:t>
            </w:r>
          </w:p>
          <w:p>
            <w:pPr>
              <w:spacing w:line="312" w:lineRule="auto"/>
              <w:jc w:val="left"/>
              <w:rPr>
                <w:rFonts w:ascii="宋体" w:hAnsi="宋体" w:eastAsia="宋体"/>
                <w:szCs w:val="21"/>
              </w:rPr>
            </w:pPr>
            <w:r>
              <w:rPr>
                <w:rFonts w:hint="eastAsia" w:ascii="宋体" w:hAnsi="宋体" w:eastAsia="宋体"/>
                <w:szCs w:val="21"/>
              </w:rPr>
              <w:t>针对设备、备品备件维护等内容提供培</w:t>
            </w:r>
          </w:p>
          <w:p>
            <w:pPr>
              <w:spacing w:line="312" w:lineRule="auto"/>
              <w:jc w:val="left"/>
              <w:rPr>
                <w:rFonts w:ascii="宋体" w:hAnsi="宋体" w:eastAsia="宋体"/>
                <w:szCs w:val="21"/>
              </w:rPr>
            </w:pPr>
            <w:r>
              <w:rPr>
                <w:rFonts w:hint="eastAsia" w:ascii="宋体" w:hAnsi="宋体" w:eastAsia="宋体"/>
                <w:szCs w:val="21"/>
              </w:rPr>
              <w:t>训计划，培训方式规范，培训内容完整</w:t>
            </w:r>
          </w:p>
          <w:p>
            <w:pPr>
              <w:spacing w:line="312" w:lineRule="auto"/>
              <w:jc w:val="left"/>
              <w:rPr>
                <w:rFonts w:ascii="宋体" w:hAnsi="宋体" w:eastAsia="宋体"/>
                <w:szCs w:val="21"/>
              </w:rPr>
            </w:pPr>
            <w:r>
              <w:rPr>
                <w:rFonts w:hint="eastAsia" w:ascii="宋体" w:hAnsi="宋体" w:eastAsia="宋体"/>
                <w:szCs w:val="21"/>
              </w:rPr>
              <w:t>详尽的，得6分；</w:t>
            </w:r>
          </w:p>
          <w:p>
            <w:pPr>
              <w:spacing w:line="312" w:lineRule="auto"/>
              <w:jc w:val="left"/>
              <w:rPr>
                <w:rFonts w:ascii="宋体" w:hAnsi="宋体" w:eastAsia="宋体"/>
                <w:szCs w:val="21"/>
              </w:rPr>
            </w:pPr>
            <w:r>
              <w:rPr>
                <w:rFonts w:hint="eastAsia" w:ascii="宋体" w:hAnsi="宋体" w:eastAsia="宋体"/>
                <w:szCs w:val="21"/>
              </w:rPr>
              <w:t>2、人员数量基本满足项目需求，培训</w:t>
            </w:r>
          </w:p>
          <w:p>
            <w:pPr>
              <w:spacing w:line="312" w:lineRule="auto"/>
              <w:jc w:val="left"/>
              <w:rPr>
                <w:rFonts w:ascii="宋体" w:hAnsi="宋体" w:eastAsia="宋体"/>
                <w:szCs w:val="21"/>
              </w:rPr>
            </w:pPr>
            <w:r>
              <w:rPr>
                <w:rFonts w:hint="eastAsia" w:ascii="宋体" w:hAnsi="宋体" w:eastAsia="宋体"/>
                <w:szCs w:val="21"/>
              </w:rPr>
              <w:t>计划及相关措施较为科学得当，具有一</w:t>
            </w:r>
          </w:p>
          <w:p>
            <w:pPr>
              <w:spacing w:line="312" w:lineRule="auto"/>
              <w:jc w:val="left"/>
              <w:rPr>
                <w:rFonts w:ascii="宋体" w:hAnsi="宋体" w:eastAsia="宋体"/>
                <w:szCs w:val="21"/>
              </w:rPr>
            </w:pPr>
            <w:r>
              <w:rPr>
                <w:rFonts w:hint="eastAsia" w:ascii="宋体" w:hAnsi="宋体" w:eastAsia="宋体"/>
                <w:szCs w:val="21"/>
              </w:rPr>
              <w:t>定可行性的，得4分；</w:t>
            </w:r>
          </w:p>
          <w:p>
            <w:pPr>
              <w:spacing w:line="312" w:lineRule="auto"/>
              <w:jc w:val="left"/>
              <w:rPr>
                <w:rFonts w:ascii="宋体" w:hAnsi="宋体" w:eastAsia="宋体"/>
                <w:szCs w:val="21"/>
              </w:rPr>
            </w:pPr>
            <w:r>
              <w:rPr>
                <w:rFonts w:hint="eastAsia" w:ascii="宋体" w:hAnsi="宋体" w:eastAsia="宋体"/>
                <w:szCs w:val="21"/>
              </w:rPr>
              <w:t>3、人员服务及培训计划有待进一步完</w:t>
            </w:r>
          </w:p>
          <w:p>
            <w:pPr>
              <w:spacing w:line="312" w:lineRule="auto"/>
              <w:jc w:val="left"/>
              <w:rPr>
                <w:rFonts w:ascii="宋体" w:hAnsi="宋体" w:eastAsia="宋体"/>
                <w:szCs w:val="21"/>
              </w:rPr>
            </w:pPr>
            <w:r>
              <w:rPr>
                <w:rFonts w:hint="eastAsia" w:ascii="宋体" w:hAnsi="宋体" w:eastAsia="宋体"/>
                <w:szCs w:val="21"/>
              </w:rPr>
              <w:t>善的，得2分；</w:t>
            </w:r>
          </w:p>
          <w:p>
            <w:pPr>
              <w:spacing w:line="312" w:lineRule="auto"/>
              <w:jc w:val="left"/>
              <w:rPr>
                <w:rFonts w:ascii="宋体" w:hAnsi="宋体" w:eastAsia="宋体"/>
                <w:szCs w:val="21"/>
              </w:rPr>
            </w:pPr>
            <w:r>
              <w:rPr>
                <w:rFonts w:hint="eastAsia" w:ascii="宋体" w:hAnsi="宋体" w:eastAsia="宋体"/>
                <w:szCs w:val="21"/>
              </w:rPr>
              <w:t>4、差或未提供任何内容不得分。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6</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业绩</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ascii="宋体" w:hAnsi="宋体" w:eastAsia="宋体"/>
                <w:szCs w:val="21"/>
              </w:rPr>
            </w:pPr>
            <w:r>
              <w:rPr>
                <w:rFonts w:hint="eastAsia" w:ascii="宋体" w:hAnsi="宋体" w:eastAsia="宋体" w:cs="宋体"/>
                <w:szCs w:val="21"/>
              </w:rPr>
              <w:t>投标人</w:t>
            </w:r>
            <w:r>
              <w:rPr>
                <w:rFonts w:hint="eastAsia" w:ascii="宋体" w:hAnsi="宋体" w:eastAsia="宋体"/>
                <w:szCs w:val="21"/>
              </w:rPr>
              <w:t>近三年（201</w:t>
            </w:r>
            <w:r>
              <w:rPr>
                <w:rFonts w:ascii="宋体" w:hAnsi="宋体" w:eastAsia="宋体"/>
                <w:szCs w:val="21"/>
              </w:rPr>
              <w:t>8</w:t>
            </w:r>
            <w:r>
              <w:rPr>
                <w:rFonts w:hint="eastAsia" w:ascii="宋体" w:hAnsi="宋体" w:eastAsia="宋体"/>
                <w:szCs w:val="21"/>
              </w:rPr>
              <w:t>年07月至今）具有轨道交通供配电同类或类似项目业绩，有一个得3分，最多得12分。</w:t>
            </w:r>
          </w:p>
          <w:p>
            <w:pPr>
              <w:spacing w:line="312" w:lineRule="auto"/>
              <w:jc w:val="left"/>
              <w:rPr>
                <w:rFonts w:ascii="宋体" w:hAnsi="宋体" w:eastAsia="宋体"/>
                <w:szCs w:val="21"/>
              </w:rPr>
            </w:pPr>
            <w:r>
              <w:rPr>
                <w:rFonts w:hint="eastAsia" w:ascii="宋体" w:hAnsi="宋体" w:eastAsia="宋体"/>
                <w:b/>
                <w:bCs/>
                <w:szCs w:val="21"/>
              </w:rPr>
              <w:t>注：投标文件中须提供合同以及验收报告扫描件，如合同或验收报告无法体现项目内容、签订日期等内容，须另附业主证明材料，否则不得分。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12</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综合实力</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宋体" w:hAnsi="宋体" w:eastAsia="宋体" w:cs="宋体"/>
                <w:b/>
                <w:bCs/>
                <w:szCs w:val="21"/>
              </w:rPr>
            </w:pPr>
            <w:r>
              <w:rPr>
                <w:rFonts w:hint="eastAsia" w:ascii="宋体" w:hAnsi="宋体" w:eastAsia="宋体" w:cs="宋体"/>
                <w:szCs w:val="21"/>
              </w:rPr>
              <w:t>1、投标人具有轨道交通类技术</w:t>
            </w:r>
            <w:r>
              <w:rPr>
                <w:rFonts w:ascii="宋体" w:hAnsi="宋体" w:eastAsia="宋体" w:cs="宋体"/>
                <w:szCs w:val="21"/>
              </w:rPr>
              <w:t>研发成果或</w:t>
            </w:r>
            <w:r>
              <w:rPr>
                <w:rFonts w:hint="eastAsia" w:ascii="宋体" w:hAnsi="宋体" w:eastAsia="宋体" w:cs="宋体"/>
                <w:szCs w:val="21"/>
              </w:rPr>
              <w:t>荣誉</w:t>
            </w:r>
            <w:r>
              <w:rPr>
                <w:rFonts w:ascii="宋体" w:hAnsi="宋体" w:eastAsia="宋体" w:cs="宋体"/>
                <w:szCs w:val="21"/>
              </w:rPr>
              <w:t>的（</w:t>
            </w:r>
            <w:r>
              <w:rPr>
                <w:rFonts w:hint="eastAsia" w:ascii="宋体" w:hAnsi="宋体" w:eastAsia="宋体" w:cs="宋体"/>
                <w:szCs w:val="21"/>
              </w:rPr>
              <w:t>如发明专利、成果</w:t>
            </w:r>
            <w:r>
              <w:rPr>
                <w:rFonts w:ascii="宋体" w:hAnsi="宋体" w:eastAsia="宋体" w:cs="宋体"/>
                <w:szCs w:val="21"/>
              </w:rPr>
              <w:t>证书、获奖证书</w:t>
            </w:r>
            <w:r>
              <w:rPr>
                <w:rFonts w:hint="eastAsia" w:ascii="宋体" w:hAnsi="宋体" w:eastAsia="宋体" w:cs="宋体"/>
                <w:szCs w:val="21"/>
              </w:rPr>
              <w:t>、</w:t>
            </w:r>
            <w:r>
              <w:rPr>
                <w:rFonts w:ascii="宋体" w:hAnsi="宋体" w:eastAsia="宋体" w:cs="宋体"/>
                <w:szCs w:val="21"/>
              </w:rPr>
              <w:t>荣誉证书</w:t>
            </w:r>
            <w:r>
              <w:rPr>
                <w:rFonts w:hint="eastAsia" w:ascii="宋体" w:hAnsi="宋体" w:eastAsia="宋体" w:cs="宋体"/>
                <w:szCs w:val="21"/>
              </w:rPr>
              <w:t>），每提供1个得1分，本小项最多得3分；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0-</w:t>
            </w:r>
            <w:r>
              <w:rPr>
                <w:rFonts w:hint="eastAsia" w:ascii="宋体" w:hAnsi="宋体" w:eastAsia="宋体" w:cs="宋体"/>
                <w:szCs w:val="21"/>
                <w:u w:val="single"/>
              </w:rPr>
              <w:t>3</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体系认证</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pStyle w:val="15"/>
              <w:spacing w:line="312" w:lineRule="auto"/>
              <w:rPr>
                <w:rFonts w:hAnsi="宋体" w:eastAsia="宋体" w:cs="宋体"/>
                <w:sz w:val="21"/>
                <w:szCs w:val="21"/>
              </w:rPr>
            </w:pPr>
            <w:r>
              <w:rPr>
                <w:rFonts w:hint="eastAsia" w:hAnsi="宋体" w:eastAsia="宋体" w:cs="宋体"/>
                <w:sz w:val="21"/>
                <w:szCs w:val="21"/>
              </w:rPr>
              <w:t>投标人具有有效的质量管理体系认证证书、环境管理体系认证证书、职业健康安全管理体系认证证书，每提供一个得2分。本项最多得6分。</w:t>
            </w:r>
          </w:p>
          <w:p>
            <w:pPr>
              <w:spacing w:line="312" w:lineRule="auto"/>
              <w:rPr>
                <w:rFonts w:ascii="宋体" w:hAnsi="宋体" w:eastAsia="宋体"/>
                <w:szCs w:val="21"/>
              </w:rPr>
            </w:pPr>
            <w:r>
              <w:rPr>
                <w:rFonts w:hint="eastAsia" w:hAnsi="宋体" w:eastAsia="宋体" w:cs="宋体"/>
                <w:b/>
                <w:bCs/>
                <w:szCs w:val="21"/>
              </w:rPr>
              <w:t>注：投标文件中须同时提供认证证书及全国认证认可公共信息服务平台官网证书查询截图的扫描件或影印件。</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6</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tcBorders>
              <w:left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价格分</w:t>
            </w:r>
          </w:p>
          <w:p>
            <w:pPr>
              <w:spacing w:line="360" w:lineRule="auto"/>
              <w:jc w:val="center"/>
              <w:rPr>
                <w:rFonts w:ascii="宋体" w:hAnsi="宋体" w:eastAsia="宋体"/>
                <w:b/>
                <w:bCs/>
                <w:szCs w:val="21"/>
              </w:rPr>
            </w:pPr>
            <w:r>
              <w:rPr>
                <w:rFonts w:hint="eastAsia" w:ascii="宋体" w:hAnsi="宋体" w:eastAsia="宋体"/>
                <w:szCs w:val="21"/>
              </w:rPr>
              <w:t>（</w:t>
            </w:r>
            <w:r>
              <w:rPr>
                <w:rFonts w:hint="eastAsia" w:ascii="宋体" w:hAnsi="宋体" w:eastAsia="宋体"/>
                <w:szCs w:val="21"/>
                <w:u w:val="single"/>
              </w:rPr>
              <w:t>30</w:t>
            </w:r>
            <w:r>
              <w:rPr>
                <w:rFonts w:hint="eastAsia" w:ascii="宋体" w:hAnsi="宋体" w:eastAsia="宋体"/>
                <w:szCs w:val="21"/>
              </w:rPr>
              <w:t>分）</w:t>
            </w:r>
          </w:p>
        </w:tc>
        <w:tc>
          <w:tcPr>
            <w:tcW w:w="704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szCs w:val="21"/>
              </w:rPr>
            </w:pPr>
            <w:r>
              <w:rPr>
                <w:rFonts w:hint="eastAsia" w:ascii="宋体" w:hAnsi="宋体" w:eastAsia="宋体"/>
                <w:szCs w:val="21"/>
              </w:rPr>
              <w:t>价格分统一采用低价优先法，即满足招标文件要求且投标价格最低的投标报价为评标基准价，其价格分为满分</w:t>
            </w:r>
            <w:r>
              <w:rPr>
                <w:rFonts w:hint="eastAsia" w:ascii="宋体" w:hAnsi="宋体" w:eastAsia="宋体"/>
                <w:szCs w:val="21"/>
                <w:u w:val="single"/>
              </w:rPr>
              <w:t>30</w:t>
            </w:r>
            <w:r>
              <w:rPr>
                <w:rFonts w:hint="eastAsia" w:ascii="宋体" w:hAnsi="宋体" w:eastAsia="宋体"/>
                <w:szCs w:val="21"/>
              </w:rPr>
              <w:t>分。其他投标人的价格分统一按照下列公式计算：</w:t>
            </w:r>
          </w:p>
          <w:p>
            <w:pPr>
              <w:spacing w:line="360" w:lineRule="auto"/>
              <w:rPr>
                <w:rFonts w:ascii="宋体" w:hAnsi="宋体" w:eastAsia="宋体"/>
                <w:b/>
                <w:bCs/>
                <w:szCs w:val="21"/>
              </w:rPr>
            </w:pPr>
            <w:r>
              <w:rPr>
                <w:rFonts w:hint="eastAsia" w:ascii="宋体" w:hAnsi="宋体" w:eastAsia="宋体"/>
                <w:szCs w:val="21"/>
              </w:rPr>
              <w:t>投标报价得分＝（评标基准价/投标报价）×</w:t>
            </w:r>
            <w:r>
              <w:rPr>
                <w:rFonts w:hint="eastAsia" w:ascii="宋体" w:hAnsi="宋体" w:eastAsia="宋体"/>
                <w:szCs w:val="21"/>
                <w:u w:val="single"/>
              </w:rPr>
              <w:t>30</w:t>
            </w:r>
            <w:r>
              <w:rPr>
                <w:rFonts w:hint="eastAsia" w:ascii="宋体" w:hAnsi="宋体" w:eastAsia="宋体"/>
                <w:szCs w:val="21"/>
              </w:rPr>
              <w:t>％×100</w:t>
            </w:r>
          </w:p>
        </w:tc>
      </w:tr>
    </w:tbl>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.3.3</w:t>
      </w:r>
      <w:r>
        <w:rPr>
          <w:rFonts w:hint="eastAsia" w:ascii="宋体" w:hAnsi="宋体" w:eastAsia="宋体"/>
          <w:sz w:val="24"/>
        </w:rPr>
        <w:t>分值汇总</w:t>
      </w:r>
    </w:p>
    <w:p>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评标委员会各成员应当独立对每个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标人的得分。取各位评委评分之平均值，四舍五入保留至小数点后两位数，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pPr>
        <w:ind w:firstLine="480" w:firstLineChars="200"/>
      </w:pPr>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22A"/>
    <w:multiLevelType w:val="multilevel"/>
    <w:tmpl w:val="0A8B322A"/>
    <w:lvl w:ilvl="0" w:tentative="0">
      <w:start w:val="1"/>
      <w:numFmt w:val="decimal"/>
      <w:suff w:val="space"/>
      <w:lvlText w:val="（%1）"/>
      <w:lvlJc w:val="left"/>
      <w:pPr>
        <w:ind w:left="720" w:hanging="720"/>
      </w:pPr>
      <w:rPr>
        <w:rFonts w:hint="default"/>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0E30DD"/>
    <w:multiLevelType w:val="multilevel"/>
    <w:tmpl w:val="170E30D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E8343D"/>
    <w:multiLevelType w:val="multilevel"/>
    <w:tmpl w:val="48E834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AA3DDF"/>
    <w:multiLevelType w:val="multilevel"/>
    <w:tmpl w:val="51AA3DD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9611ED9"/>
    <w:multiLevelType w:val="multilevel"/>
    <w:tmpl w:val="59611ED9"/>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BC52438"/>
    <w:multiLevelType w:val="multilevel"/>
    <w:tmpl w:val="6BC52438"/>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31D73D1"/>
    <w:multiLevelType w:val="multilevel"/>
    <w:tmpl w:val="731D73D1"/>
    <w:lvl w:ilvl="0" w:tentative="0">
      <w:start w:val="1"/>
      <w:numFmt w:val="decimal"/>
      <w:suff w:val="space"/>
      <w:lvlText w:val="（%1）"/>
      <w:lvlJc w:val="left"/>
      <w:pPr>
        <w:ind w:left="720" w:hanging="720"/>
      </w:pPr>
      <w:rPr>
        <w:rFonts w:hint="default"/>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654FC"/>
    <w:rsid w:val="09A93A94"/>
    <w:rsid w:val="0FDC72B4"/>
    <w:rsid w:val="32B52B8A"/>
    <w:rsid w:val="420D7C34"/>
    <w:rsid w:val="4B5654FC"/>
    <w:rsid w:val="4C2E0845"/>
    <w:rsid w:val="7DB3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Body Text Indent"/>
    <w:basedOn w:val="1"/>
    <w:next w:val="4"/>
    <w:qFormat/>
    <w:uiPriority w:val="0"/>
    <w:pPr>
      <w:ind w:firstLine="645"/>
    </w:pPr>
    <w:rPr>
      <w:rFonts w:ascii="楷体_GB2312" w:eastAsia="楷体_GB2312"/>
      <w:sz w:val="32"/>
      <w:szCs w:val="20"/>
    </w:rPr>
  </w:style>
  <w:style w:type="paragraph" w:styleId="4">
    <w:name w:val="envelope return"/>
    <w:basedOn w:val="1"/>
    <w:qFormat/>
    <w:uiPriority w:val="0"/>
    <w:pPr>
      <w:snapToGrid w:val="0"/>
    </w:pPr>
    <w:rPr>
      <w:rFonts w:ascii="Arial" w:hAnsi="Arial"/>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left="420" w:firstLine="420" w:firstLineChars="200"/>
    </w:p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 w:type="paragraph" w:customStyle="1" w:styleId="10">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表"/>
    <w:basedOn w:val="1"/>
    <w:qFormat/>
    <w:uiPriority w:val="0"/>
    <w:pPr>
      <w:widowControl/>
      <w:jc w:val="center"/>
      <w:textAlignment w:val="center"/>
    </w:pPr>
    <w:rPr>
      <w:rFonts w:cs="Times New Roman"/>
      <w:color w:val="0D0D0D"/>
      <w:szCs w:val="21"/>
    </w:rPr>
  </w:style>
  <w:style w:type="character" w:customStyle="1" w:styleId="12">
    <w:name w:val="font51"/>
    <w:qFormat/>
    <w:uiPriority w:val="0"/>
    <w:rPr>
      <w:rFonts w:hint="eastAsia" w:ascii="宋体" w:hAnsi="宋体" w:eastAsia="宋体" w:cs="宋体"/>
      <w:color w:val="000000"/>
      <w:sz w:val="18"/>
      <w:szCs w:val="18"/>
      <w:u w:val="none"/>
    </w:rPr>
  </w:style>
  <w:style w:type="paragraph" w:customStyle="1" w:styleId="13">
    <w:name w:val="表格正文"/>
    <w:qFormat/>
    <w:uiPriority w:val="0"/>
    <w:rPr>
      <w:rFonts w:ascii="宋体" w:hAnsi="宋体" w:eastAsia="宋体" w:cs="Times New Roman"/>
      <w:kern w:val="2"/>
      <w:sz w:val="21"/>
      <w:szCs w:val="21"/>
      <w:lang w:val="en-US" w:eastAsia="zh-CN" w:bidi="ar-SA"/>
    </w:rPr>
  </w:style>
  <w:style w:type="paragraph" w:styleId="14">
    <w:name w:val="List Paragraph"/>
    <w:basedOn w:val="1"/>
    <w:qFormat/>
    <w:uiPriority w:val="34"/>
    <w:pPr>
      <w:ind w:firstLine="420" w:firstLineChars="200"/>
    </w:pPr>
  </w:style>
  <w:style w:type="paragraph" w:customStyle="1" w:styleId="15">
    <w:name w:val="纯文本2"/>
    <w:basedOn w:val="1"/>
    <w:qFormat/>
    <w:uiPriority w:val="0"/>
    <w:pPr>
      <w:adjustRightInd w:val="0"/>
      <w:textAlignment w:val="baseline"/>
    </w:pPr>
    <w:rPr>
      <w:rFonts w:ascii="宋体" w:hAnsi="Courier New" w:eastAsia="楷体_GB2312"/>
      <w:sz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2021-08-30T02:48:00Z</dcterms:created>
  <dc:creator>NTKO</dc:creator>
  <cp:lastModifiedBy>NTKO</cp:lastModifiedBy>
  <dcterms:modified xsi:type="dcterms:W3CDTF">2021-09-22T01:43:34Z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