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160" w:name="_GoBack"/>
      <w:bookmarkEnd w:id="160"/>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bookmarkEnd w:id="0"/>
    <w:p>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安徽交通职业技术学院校企合作特色专业购买服务</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rPr>
        <w:t>AHZJ-202016101327/院招第2020026号</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安徽交通职业技术学院</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安徽中技工程咨询有限公司</w:t>
      </w:r>
    </w:p>
    <w:p>
      <w:pPr>
        <w:tabs>
          <w:tab w:val="left" w:pos="2410"/>
        </w:tabs>
        <w:autoSpaceDE w:val="0"/>
        <w:autoSpaceDN w:val="0"/>
        <w:adjustRightInd w:val="0"/>
        <w:snapToGrid w:val="0"/>
        <w:spacing w:line="360" w:lineRule="auto"/>
        <w:rPr>
          <w:rFonts w:ascii="宋体" w:hAnsi="宋体" w:eastAsia="宋体"/>
          <w:b/>
          <w:sz w:val="36"/>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2020</w:t>
      </w:r>
      <w:r>
        <w:rPr>
          <w:rFonts w:hint="eastAsia" w:ascii="宋体" w:hAnsi="宋体" w:eastAsia="宋体"/>
          <w:b/>
          <w:sz w:val="36"/>
        </w:rPr>
        <w:t>年</w:t>
      </w:r>
      <w:r>
        <w:rPr>
          <w:rFonts w:ascii="宋体" w:hAnsi="宋体" w:eastAsia="宋体"/>
          <w:b/>
          <w:sz w:val="36"/>
          <w:u w:val="single"/>
        </w:rPr>
        <w:t>11</w:t>
      </w:r>
      <w:r>
        <w:rPr>
          <w:rFonts w:hint="eastAsia" w:ascii="宋体" w:hAnsi="宋体" w:eastAsia="宋体"/>
          <w:b/>
          <w:sz w:val="36"/>
        </w:rPr>
        <w:t>月</w:t>
      </w:r>
      <w:r>
        <w:rPr>
          <w:rFonts w:ascii="宋体" w:hAnsi="宋体" w:eastAsia="宋体"/>
          <w:b/>
          <w:sz w:val="36"/>
        </w:rPr>
        <w:br w:type="page"/>
      </w: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9"/>
        <w:tabs>
          <w:tab w:val="right" w:leader="dot" w:pos="827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"_Toc687"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磋商公告</w:t>
      </w:r>
      <w:r>
        <w:tab/>
      </w:r>
      <w:r>
        <w:fldChar w:fldCharType="begin"/>
      </w:r>
      <w:r>
        <w:instrText xml:space="preserve"> PAGEREF _Toc687 </w:instrText>
      </w:r>
      <w:r>
        <w:fldChar w:fldCharType="separate"/>
      </w:r>
      <w:r>
        <w:t>4</w:t>
      </w:r>
      <w:r>
        <w:fldChar w:fldCharType="end"/>
      </w:r>
      <w:r>
        <w:fldChar w:fldCharType="end"/>
      </w:r>
    </w:p>
    <w:p>
      <w:pPr>
        <w:pStyle w:val="19"/>
        <w:tabs>
          <w:tab w:val="right" w:leader="dot" w:pos="8279"/>
        </w:tabs>
      </w:pPr>
      <w:r>
        <w:fldChar w:fldCharType="begin"/>
      </w:r>
      <w:r>
        <w:instrText xml:space="preserve"> HYPERLINK \l "_Toc9959"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_Toc9959 </w:instrText>
      </w:r>
      <w:r>
        <w:fldChar w:fldCharType="separate"/>
      </w:r>
      <w:r>
        <w:t>7</w:t>
      </w:r>
      <w:r>
        <w:fldChar w:fldCharType="end"/>
      </w:r>
      <w:r>
        <w:fldChar w:fldCharType="end"/>
      </w:r>
    </w:p>
    <w:p>
      <w:pPr>
        <w:pStyle w:val="19"/>
        <w:tabs>
          <w:tab w:val="right" w:leader="dot" w:pos="8279"/>
        </w:tabs>
      </w:pPr>
      <w:r>
        <w:fldChar w:fldCharType="begin"/>
      </w:r>
      <w:r>
        <w:instrText xml:space="preserve"> HYPERLINK \l "_Toc19264" </w:instrText>
      </w:r>
      <w:r>
        <w:fldChar w:fldCharType="separate"/>
      </w:r>
      <w:r>
        <w:rPr>
          <w:rFonts w:hint="eastAsia" w:asciiTheme="minorEastAsia" w:hAnsiTheme="minorEastAsia"/>
        </w:rPr>
        <w:t>第三章  采购需求</w:t>
      </w:r>
      <w:r>
        <w:tab/>
      </w:r>
      <w:r>
        <w:fldChar w:fldCharType="begin"/>
      </w:r>
      <w:r>
        <w:instrText xml:space="preserve"> PAGEREF _Toc19264 </w:instrText>
      </w:r>
      <w:r>
        <w:fldChar w:fldCharType="separate"/>
      </w:r>
      <w:r>
        <w:t>27</w:t>
      </w:r>
      <w:r>
        <w:fldChar w:fldCharType="end"/>
      </w:r>
      <w:r>
        <w:fldChar w:fldCharType="end"/>
      </w:r>
    </w:p>
    <w:p>
      <w:pPr>
        <w:pStyle w:val="19"/>
        <w:tabs>
          <w:tab w:val="right" w:leader="dot" w:pos="8279"/>
        </w:tabs>
      </w:pPr>
      <w:r>
        <w:fldChar w:fldCharType="begin"/>
      </w:r>
      <w:r>
        <w:instrText xml:space="preserve"> HYPERLINK \l "_Toc7719" </w:instrText>
      </w:r>
      <w:r>
        <w:fldChar w:fldCharType="separate"/>
      </w:r>
      <w:r>
        <w:rPr>
          <w:rFonts w:hint="eastAsia" w:asciiTheme="minorEastAsia" w:hAnsiTheme="minorEastAsia"/>
        </w:rPr>
        <w:t>第四章  评审方法和标准</w:t>
      </w:r>
      <w:r>
        <w:tab/>
      </w:r>
      <w:r>
        <w:fldChar w:fldCharType="begin"/>
      </w:r>
      <w:r>
        <w:instrText xml:space="preserve"> PAGEREF _Toc7719 </w:instrText>
      </w:r>
      <w:r>
        <w:fldChar w:fldCharType="separate"/>
      </w:r>
      <w:r>
        <w:t>32</w:t>
      </w:r>
      <w:r>
        <w:fldChar w:fldCharType="end"/>
      </w:r>
      <w:r>
        <w:fldChar w:fldCharType="end"/>
      </w:r>
    </w:p>
    <w:p>
      <w:pPr>
        <w:pStyle w:val="19"/>
        <w:tabs>
          <w:tab w:val="right" w:leader="dot" w:pos="8279"/>
        </w:tabs>
      </w:pPr>
      <w:r>
        <w:fldChar w:fldCharType="begin"/>
      </w:r>
      <w:r>
        <w:instrText xml:space="preserve"> HYPERLINK \l "_Toc19665" </w:instrText>
      </w:r>
      <w:r>
        <w:fldChar w:fldCharType="separate"/>
      </w:r>
      <w:r>
        <w:rPr>
          <w:rFonts w:hint="eastAsia" w:asciiTheme="minorEastAsia" w:hAnsiTheme="minorEastAsia"/>
        </w:rPr>
        <w:t xml:space="preserve">第五章 </w:t>
      </w:r>
      <w:r>
        <w:rPr>
          <w:rFonts w:asciiTheme="minorEastAsia" w:hAnsiTheme="minorEastAsia"/>
        </w:rPr>
        <w:t xml:space="preserve"> 政府采购合同</w:t>
      </w:r>
      <w:r>
        <w:tab/>
      </w:r>
      <w:r>
        <w:fldChar w:fldCharType="begin"/>
      </w:r>
      <w:r>
        <w:instrText xml:space="preserve"> PAGEREF _Toc19665 </w:instrText>
      </w:r>
      <w:r>
        <w:fldChar w:fldCharType="separate"/>
      </w:r>
      <w:r>
        <w:t>38</w:t>
      </w:r>
      <w:r>
        <w:fldChar w:fldCharType="end"/>
      </w:r>
      <w:r>
        <w:fldChar w:fldCharType="end"/>
      </w:r>
    </w:p>
    <w:p>
      <w:pPr>
        <w:pStyle w:val="19"/>
        <w:tabs>
          <w:tab w:val="right" w:leader="dot" w:pos="8279"/>
        </w:tabs>
      </w:pPr>
      <w:r>
        <w:fldChar w:fldCharType="begin"/>
      </w:r>
      <w:r>
        <w:instrText xml:space="preserve"> HYPERLINK \l "_Toc21795" </w:instrText>
      </w:r>
      <w:r>
        <w:fldChar w:fldCharType="separate"/>
      </w:r>
      <w:r>
        <w:rPr>
          <w:rFonts w:hint="eastAsia" w:asciiTheme="minorEastAsia" w:hAnsiTheme="minorEastAsia"/>
        </w:rPr>
        <w:t>第六章  响应文件格式</w:t>
      </w:r>
      <w:r>
        <w:tab/>
      </w:r>
      <w:r>
        <w:fldChar w:fldCharType="begin"/>
      </w:r>
      <w:r>
        <w:instrText xml:space="preserve"> PAGEREF _Toc21795 </w:instrText>
      </w:r>
      <w:r>
        <w:fldChar w:fldCharType="separate"/>
      </w:r>
      <w:r>
        <w:t>47</w:t>
      </w:r>
      <w:r>
        <w:fldChar w:fldCharType="end"/>
      </w:r>
      <w:r>
        <w:fldChar w:fldCharType="end"/>
      </w:r>
    </w:p>
    <w:p>
      <w:pPr>
        <w:pStyle w:val="19"/>
        <w:tabs>
          <w:tab w:val="right" w:leader="dot" w:pos="8279"/>
        </w:tabs>
      </w:pPr>
      <w:r>
        <w:fldChar w:fldCharType="begin"/>
      </w:r>
      <w:r>
        <w:instrText xml:space="preserve"> HYPERLINK \l "_Toc8172" </w:instrText>
      </w:r>
      <w:r>
        <w:fldChar w:fldCharType="separate"/>
      </w:r>
      <w:r>
        <w:rPr>
          <w:rFonts w:hint="eastAsia" w:asciiTheme="minorEastAsia" w:hAnsiTheme="minorEastAsia"/>
        </w:rPr>
        <w:t>第七章  政府采购供应商质疑函范本</w:t>
      </w:r>
      <w:r>
        <w:tab/>
      </w:r>
      <w:r>
        <w:fldChar w:fldCharType="begin"/>
      </w:r>
      <w:r>
        <w:instrText xml:space="preserve"> PAGEREF _Toc8172 </w:instrText>
      </w:r>
      <w:r>
        <w:fldChar w:fldCharType="separate"/>
      </w:r>
      <w:r>
        <w:t>62</w:t>
      </w:r>
      <w:r>
        <w:fldChar w:fldCharType="end"/>
      </w:r>
      <w:r>
        <w:fldChar w:fldCharType="end"/>
      </w:r>
    </w:p>
    <w:p>
      <w:pPr>
        <w:pStyle w:val="19"/>
        <w:tabs>
          <w:tab w:val="right" w:leader="dot" w:pos="8296"/>
        </w:tabs>
        <w:rPr>
          <w:rFonts w:asciiTheme="minorEastAsia" w:hAnsiTheme="minorEastAsia"/>
          <w:b/>
          <w:sz w:val="32"/>
        </w:rPr>
      </w:pPr>
      <w:r>
        <w:rPr>
          <w:rFonts w:asciiTheme="minorEastAsia" w:hAnsiTheme="minorEastAsia"/>
          <w:szCs w:val="24"/>
        </w:rPr>
        <w:fldChar w:fldCharType="end"/>
      </w:r>
    </w:p>
    <w:p>
      <w:pPr>
        <w:spacing w:line="360" w:lineRule="auto"/>
        <w:jc w:val="center"/>
        <w:outlineLvl w:val="1"/>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pStyle w:val="2"/>
        <w:rPr>
          <w:rFonts w:asciiTheme="minorEastAsia" w:hAnsiTheme="minorEastAsia" w:eastAsiaTheme="minorEastAsia"/>
          <w:b/>
          <w:sz w:val="28"/>
        </w:rPr>
      </w:pPr>
    </w:p>
    <w:p>
      <w:p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服务公开信</w:t>
      </w:r>
    </w:p>
    <w:p>
      <w:pPr>
        <w:spacing w:line="360" w:lineRule="auto"/>
        <w:ind w:firstLine="435"/>
        <w:rPr>
          <w:rFonts w:asciiTheme="minorEastAsia" w:hAnsiTheme="minorEastAsia" w:eastAsiaTheme="minorEastAsia" w:cstheme="minorEastAsia"/>
          <w:sz w:val="24"/>
          <w:szCs w:val="24"/>
        </w:rPr>
      </w:pPr>
    </w:p>
    <w:p>
      <w:pPr>
        <w:spacing w:line="360" w:lineRule="auto"/>
        <w:ind w:firstLine="435"/>
        <w:rPr>
          <w:rFonts w:ascii="宋体" w:hAnsi="宋体" w:eastAsia="宋体" w:cs="宋体"/>
          <w:sz w:val="24"/>
          <w:szCs w:val="24"/>
        </w:rPr>
      </w:pPr>
      <w:r>
        <w:rPr>
          <w:rFonts w:hint="eastAsia" w:ascii="宋体" w:hAnsi="宋体" w:eastAsia="宋体" w:cs="宋体"/>
          <w:sz w:val="24"/>
          <w:szCs w:val="24"/>
        </w:rPr>
        <w:t>尊敬的各社会团体、各界人士：</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1、我公司在招投标活动过程中，严格执行国家招投标法等有关法律、法规，遵循“公开、公平、公正和诚实信用”原则，以规范招投标程序，维护法律尊严，维护招标人、供应商及各相关方的合法利益。</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2、我公司向招标人、供应商、招投标监管部门出具的各类书面文件均为真实、合法、有效，不伪造变造任何书面文件，遵循符合国家法律、法规、规章及其他规范性文件，杜绝偏向性和歧视性内容。</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3、我公司在招投标过程中将信守承诺，积极守约地开展招标代理工作，不向任何第三方泄露招投标活动中应当保密的情况和资料，不私下做任何某种直接或隐含承诺。</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4、我公司将严格规范约束自身行为，发挥好招投标中介服务桥梁作用，不接受也不向任何相关单位工作人员及其亲属进行馈赠或非工作场所约见活动；不向任何相关单位工作人员施加任何影响。</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 xml:space="preserve">热忱欢迎社会各界团体组织和人士予以监督，让我们携手为拥有规范的招投标环境而努力！ </w:t>
      </w:r>
    </w:p>
    <w:p>
      <w:pPr>
        <w:spacing w:line="360" w:lineRule="auto"/>
        <w:ind w:firstLine="435"/>
        <w:rPr>
          <w:rFonts w:ascii="宋体" w:hAnsi="宋体" w:eastAsia="宋体" w:cs="宋体"/>
          <w:sz w:val="24"/>
          <w:szCs w:val="24"/>
        </w:rPr>
      </w:pPr>
    </w:p>
    <w:p>
      <w:pPr>
        <w:pStyle w:val="2"/>
        <w:jc w:val="right"/>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cs="宋体"/>
          <w:sz w:val="24"/>
        </w:rPr>
        <w:t>安徽中技工程咨询有限公司</w:t>
      </w:r>
    </w:p>
    <w:p>
      <w:pPr>
        <w:spacing w:line="360" w:lineRule="auto"/>
        <w:jc w:val="center"/>
        <w:outlineLvl w:val="1"/>
        <w:rPr>
          <w:rFonts w:asciiTheme="minorEastAsia" w:hAnsiTheme="minorEastAsia" w:eastAsiaTheme="minorEastAsia"/>
          <w:b/>
          <w:sz w:val="28"/>
        </w:rPr>
      </w:pPr>
      <w:bookmarkStart w:id="1" w:name="_Toc687"/>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磋商公告</w:t>
      </w:r>
      <w:bookmarkEnd w:id="1"/>
    </w:p>
    <w:p>
      <w:pPr>
        <w:spacing w:line="360" w:lineRule="auto"/>
        <w:ind w:firstLine="435"/>
        <w:jc w:val="center"/>
        <w:rPr>
          <w:rFonts w:ascii="宋体" w:hAnsi="宋体" w:eastAsia="宋体" w:cs="宋体"/>
          <w:b/>
          <w:bCs/>
          <w:sz w:val="24"/>
          <w:szCs w:val="24"/>
        </w:rPr>
      </w:pPr>
      <w:r>
        <w:rPr>
          <w:rFonts w:hint="eastAsia" w:ascii="宋体" w:hAnsi="宋体" w:eastAsia="宋体" w:cs="宋体"/>
          <w:b/>
          <w:bCs/>
          <w:sz w:val="24"/>
          <w:szCs w:val="24"/>
        </w:rPr>
        <w:t>安徽交通职业技术学院校企合作特色专业购买服务（项目编号：AHZJ-202016101327/院招第2020026号）</w:t>
      </w:r>
    </w:p>
    <w:p>
      <w:pPr>
        <w:spacing w:line="360" w:lineRule="auto"/>
        <w:ind w:firstLine="435"/>
        <w:jc w:val="center"/>
        <w:rPr>
          <w:rFonts w:ascii="宋体" w:hAnsi="宋体" w:eastAsia="宋体" w:cs="宋体"/>
          <w:b/>
          <w:bCs/>
          <w:sz w:val="24"/>
          <w:szCs w:val="24"/>
        </w:rPr>
      </w:pPr>
      <w:r>
        <w:rPr>
          <w:rFonts w:hint="eastAsia" w:ascii="宋体" w:hAnsi="宋体" w:eastAsia="宋体" w:cs="宋体"/>
          <w:b/>
          <w:bCs/>
          <w:sz w:val="24"/>
          <w:szCs w:val="24"/>
        </w:rPr>
        <w:t>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安徽交通职业技术学院校企合作特色专业购买服务 采购项目的潜在供应商应在安徽省智能采购云平台（网址http://www.ahhzc.com/）获取采购文件，并于 2020</w:t>
      </w:r>
      <w:r>
        <w:rPr>
          <w:rFonts w:hint="eastAsia" w:ascii="宋体" w:hAnsi="宋体" w:eastAsia="宋体" w:cs="宋体"/>
          <w:bCs/>
          <w:sz w:val="24"/>
          <w:szCs w:val="24"/>
        </w:rPr>
        <w:t>年</w:t>
      </w:r>
      <w:r>
        <w:rPr>
          <w:rFonts w:ascii="宋体" w:hAnsi="宋体" w:eastAsia="宋体" w:cs="宋体"/>
          <w:bCs/>
          <w:sz w:val="24"/>
          <w:szCs w:val="24"/>
        </w:rPr>
        <w:t>11</w:t>
      </w:r>
      <w:r>
        <w:rPr>
          <w:rFonts w:hint="eastAsia" w:ascii="宋体" w:hAnsi="宋体" w:eastAsia="宋体" w:cs="宋体"/>
          <w:bCs/>
          <w:sz w:val="24"/>
          <w:szCs w:val="24"/>
        </w:rPr>
        <w:t>月2</w:t>
      </w:r>
      <w:r>
        <w:rPr>
          <w:rFonts w:ascii="宋体" w:hAnsi="宋体" w:eastAsia="宋体" w:cs="宋体"/>
          <w:bCs/>
          <w:sz w:val="24"/>
          <w:szCs w:val="24"/>
        </w:rPr>
        <w:t>5</w:t>
      </w:r>
      <w:r>
        <w:rPr>
          <w:rFonts w:hint="eastAsia" w:ascii="宋体" w:hAnsi="宋体" w:eastAsia="宋体" w:cs="宋体"/>
          <w:bCs/>
          <w:sz w:val="24"/>
          <w:szCs w:val="24"/>
        </w:rPr>
        <w:t>日</w:t>
      </w:r>
      <w:r>
        <w:rPr>
          <w:rFonts w:ascii="宋体" w:hAnsi="宋体" w:eastAsia="宋体" w:cs="宋体"/>
          <w:bCs/>
          <w:sz w:val="24"/>
          <w:szCs w:val="24"/>
        </w:rPr>
        <w:t>9</w:t>
      </w:r>
      <w:r>
        <w:rPr>
          <w:rFonts w:hint="eastAsia" w:ascii="宋体" w:hAnsi="宋体" w:eastAsia="宋体" w:cs="宋体"/>
          <w:bCs/>
          <w:sz w:val="24"/>
          <w:szCs w:val="24"/>
        </w:rPr>
        <w:t>点</w:t>
      </w:r>
      <w:r>
        <w:rPr>
          <w:rFonts w:ascii="宋体" w:hAnsi="宋体" w:eastAsia="宋体" w:cs="宋体"/>
          <w:bCs/>
          <w:sz w:val="24"/>
          <w:szCs w:val="24"/>
        </w:rPr>
        <w:t>3</w:t>
      </w:r>
      <w:r>
        <w:rPr>
          <w:rFonts w:hint="eastAsia" w:ascii="宋体" w:hAnsi="宋体" w:eastAsia="宋体" w:cs="宋体"/>
          <w:bCs/>
          <w:sz w:val="24"/>
          <w:szCs w:val="24"/>
        </w:rPr>
        <w:t>0分（北京时间）前递交响应文件</w:t>
      </w:r>
      <w:r>
        <w:rPr>
          <w:rFonts w:hint="eastAsia" w:ascii="宋体" w:hAnsi="宋体" w:eastAsia="宋体" w:cs="宋体"/>
          <w:sz w:val="24"/>
          <w:szCs w:val="24"/>
        </w:rPr>
        <w:t>。</w:t>
      </w:r>
    </w:p>
    <w:p>
      <w:pPr>
        <w:spacing w:line="360" w:lineRule="auto"/>
        <w:ind w:firstLine="435"/>
        <w:rPr>
          <w:rFonts w:ascii="宋体" w:hAnsi="宋体" w:eastAsia="宋体" w:cs="宋体"/>
          <w:bCs/>
          <w:sz w:val="24"/>
          <w:szCs w:val="24"/>
        </w:rPr>
      </w:pPr>
      <w:r>
        <w:rPr>
          <w:rFonts w:hint="eastAsia" w:ascii="宋体" w:hAnsi="宋体" w:eastAsia="宋体" w:cs="宋体"/>
          <w:b/>
          <w:sz w:val="24"/>
          <w:szCs w:val="24"/>
        </w:rPr>
        <w:t>一、项目基本情况</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项目编号：AHZJ-202016101327/院招第2020026号</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项目名称：安徽交通职业技术学院校企合作特色专业购买服务</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采购方式：竞争性磋商</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项目预算：人民币270.32万元</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最高限价：人民币270.32万元</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采购需求：详见附件</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合同履行期限：详见附件</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本项目不接受联合体</w:t>
      </w:r>
    </w:p>
    <w:p>
      <w:pPr>
        <w:spacing w:line="360" w:lineRule="auto"/>
        <w:ind w:firstLine="435"/>
        <w:rPr>
          <w:rFonts w:ascii="宋体" w:hAnsi="宋体" w:eastAsia="宋体" w:cs="宋体"/>
          <w:b/>
          <w:sz w:val="24"/>
          <w:szCs w:val="24"/>
        </w:rPr>
      </w:pPr>
      <w:r>
        <w:rPr>
          <w:rFonts w:hint="eastAsia" w:ascii="宋体" w:hAnsi="宋体" w:eastAsia="宋体" w:cs="宋体"/>
          <w:b/>
          <w:sz w:val="24"/>
          <w:szCs w:val="24"/>
        </w:rPr>
        <w:t>二、申请人的资格要求</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1.符合《中华人民共和国政府采购法》第二十二条规定；</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2.落实政府采购政策需满足的资格要求：/；</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3.本项目的特定资格要求：/</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3.1信誉要求：</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供应商存在以下不良信用记录情形之一的，不得推荐为成交候选供应商，不得确定为成交供应商：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（1）供应商被人民法院列入失信被执行人的；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（2）供应商被工商行政管理部门列入企业经营异常名录的；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（3）供应商被税务部门列入重大税收违法案件当事人名单的；</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（4）供应商被政府采购监管部门列入政府采购严重违法失信行为记录名单的。</w:t>
      </w:r>
    </w:p>
    <w:p>
      <w:pPr>
        <w:spacing w:line="360" w:lineRule="auto"/>
        <w:ind w:firstLine="435"/>
        <w:rPr>
          <w:rFonts w:ascii="宋体" w:hAnsi="宋体" w:eastAsia="宋体" w:cs="宋体"/>
          <w:b/>
          <w:sz w:val="24"/>
          <w:szCs w:val="24"/>
        </w:rPr>
      </w:pPr>
      <w:r>
        <w:rPr>
          <w:rFonts w:hint="eastAsia" w:ascii="宋体" w:hAnsi="宋体" w:eastAsia="宋体" w:cs="宋体"/>
          <w:b/>
          <w:sz w:val="24"/>
          <w:szCs w:val="24"/>
        </w:rPr>
        <w:t>三、获取采购文件</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时间： 2020年</w:t>
      </w:r>
      <w:r>
        <w:rPr>
          <w:rFonts w:ascii="宋体" w:hAnsi="宋体" w:eastAsia="宋体" w:cs="宋体"/>
          <w:sz w:val="24"/>
          <w:szCs w:val="24"/>
        </w:rPr>
        <w:t>11</w:t>
      </w:r>
      <w:r>
        <w:rPr>
          <w:rFonts w:hint="eastAsia" w:ascii="宋体" w:hAnsi="宋体" w:eastAsia="宋体" w:cs="宋体"/>
          <w:sz w:val="24"/>
          <w:szCs w:val="24"/>
        </w:rPr>
        <w:t>月</w:t>
      </w:r>
      <w:r>
        <w:rPr>
          <w:rFonts w:ascii="宋体" w:hAnsi="宋体" w:eastAsia="宋体" w:cs="宋体"/>
          <w:sz w:val="24"/>
          <w:szCs w:val="24"/>
        </w:rPr>
        <w:t>16</w:t>
      </w:r>
      <w:r>
        <w:rPr>
          <w:rFonts w:hint="eastAsia" w:ascii="宋体" w:hAnsi="宋体" w:eastAsia="宋体" w:cs="宋体"/>
          <w:sz w:val="24"/>
          <w:szCs w:val="24"/>
        </w:rPr>
        <w:t>日09:00至2020年</w:t>
      </w:r>
      <w:r>
        <w:rPr>
          <w:rFonts w:ascii="宋体" w:hAnsi="宋体" w:eastAsia="宋体" w:cs="宋体"/>
          <w:sz w:val="24"/>
          <w:szCs w:val="24"/>
        </w:rPr>
        <w:t>11</w:t>
      </w:r>
      <w:r>
        <w:rPr>
          <w:rFonts w:hint="eastAsia" w:ascii="宋体" w:hAnsi="宋体" w:eastAsia="宋体" w:cs="宋体"/>
          <w:sz w:val="24"/>
          <w:szCs w:val="24"/>
        </w:rPr>
        <w:t>月</w:t>
      </w:r>
      <w:r>
        <w:rPr>
          <w:rFonts w:ascii="宋体" w:hAnsi="宋体" w:eastAsia="宋体" w:cs="宋体"/>
          <w:sz w:val="24"/>
          <w:szCs w:val="24"/>
        </w:rPr>
        <w:t>20</w:t>
      </w:r>
      <w:r>
        <w:rPr>
          <w:rFonts w:hint="eastAsia" w:ascii="宋体" w:hAnsi="宋体" w:eastAsia="宋体" w:cs="宋体"/>
          <w:sz w:val="24"/>
          <w:szCs w:val="24"/>
        </w:rPr>
        <w:t>日17:00（北京时间，法定节假日除外 ）</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地点：安徽省智能采购云平台（网址http://www.ahhzc.com/）</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方式：在线发售采购文件，有意参加的潜在供应商首先须在电子交易系统“安徽省智能采购云平台”（以下简称“徽智采”平台，网址：</w:t>
      </w:r>
      <w:r>
        <w:fldChar w:fldCharType="begin"/>
      </w:r>
      <w:r>
        <w:instrText xml:space="preserve"> HYPERLINK "http://www.ahhzc.com/）及手机" </w:instrText>
      </w:r>
      <w:r>
        <w:fldChar w:fldCharType="separate"/>
      </w:r>
      <w:r>
        <w:rPr>
          <w:rFonts w:hint="eastAsia" w:ascii="宋体" w:hAnsi="宋体" w:eastAsia="宋体" w:cs="宋体"/>
          <w:sz w:val="24"/>
          <w:szCs w:val="24"/>
        </w:rPr>
        <w:t>http://www.ahhzc.com/）及手机“中招易采”APP中完成注册（注①），之后在PC端安装“投标管家”（注②），通过APP扫描在“投标管家”登录。</w:t>
      </w:r>
      <w:r>
        <w:rPr>
          <w:rFonts w:hint="eastAsia" w:ascii="宋体" w:hAnsi="宋体" w:eastAsia="宋体" w:cs="宋体"/>
          <w:sz w:val="24"/>
          <w:szCs w:val="24"/>
        </w:rPr>
        <w:fldChar w:fldCharType="end"/>
      </w:r>
    </w:p>
    <w:p>
      <w:pPr>
        <w:spacing w:line="360" w:lineRule="auto"/>
        <w:ind w:firstLine="435"/>
        <w:rPr>
          <w:rFonts w:ascii="宋体" w:hAnsi="宋体" w:eastAsia="宋体" w:cs="宋体"/>
          <w:sz w:val="24"/>
          <w:szCs w:val="24"/>
        </w:rPr>
      </w:pPr>
      <w:r>
        <w:rPr>
          <w:rFonts w:hint="eastAsia" w:ascii="宋体" w:hAnsi="宋体" w:eastAsia="宋体" w:cs="宋体"/>
          <w:sz w:val="24"/>
          <w:szCs w:val="24"/>
        </w:rPr>
        <w:t>售价：0元</w:t>
      </w:r>
    </w:p>
    <w:p>
      <w:pPr>
        <w:spacing w:line="360" w:lineRule="auto"/>
        <w:ind w:firstLine="435"/>
        <w:rPr>
          <w:rFonts w:ascii="宋体" w:hAnsi="宋体" w:eastAsia="宋体" w:cs="宋体"/>
          <w:bCs/>
          <w:sz w:val="24"/>
          <w:szCs w:val="24"/>
        </w:rPr>
      </w:pPr>
      <w:r>
        <w:rPr>
          <w:rFonts w:hint="eastAsia" w:ascii="宋体" w:hAnsi="宋体" w:eastAsia="宋体" w:cs="宋体"/>
          <w:b/>
          <w:sz w:val="24"/>
          <w:szCs w:val="24"/>
        </w:rPr>
        <w:t>四、响应文件提交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截止时间：2020年</w:t>
      </w:r>
      <w:r>
        <w:rPr>
          <w:rFonts w:ascii="宋体" w:hAnsi="宋体" w:eastAsia="宋体" w:cs="宋体"/>
          <w:sz w:val="24"/>
          <w:szCs w:val="24"/>
        </w:rPr>
        <w:t>11</w:t>
      </w:r>
      <w:r>
        <w:rPr>
          <w:rFonts w:hint="eastAsia" w:ascii="宋体" w:hAnsi="宋体" w:eastAsia="宋体" w:cs="宋体"/>
          <w:sz w:val="24"/>
          <w:szCs w:val="24"/>
        </w:rPr>
        <w:t>月2</w:t>
      </w:r>
      <w:r>
        <w:rPr>
          <w:rFonts w:ascii="宋体" w:hAnsi="宋体" w:eastAsia="宋体" w:cs="宋体"/>
          <w:sz w:val="24"/>
          <w:szCs w:val="24"/>
        </w:rPr>
        <w:t>5</w:t>
      </w:r>
      <w:r>
        <w:rPr>
          <w:rFonts w:hint="eastAsia" w:ascii="宋体" w:hAnsi="宋体" w:eastAsia="宋体" w:cs="宋体"/>
          <w:sz w:val="24"/>
          <w:szCs w:val="24"/>
        </w:rPr>
        <w:t>日</w:t>
      </w:r>
      <w:r>
        <w:rPr>
          <w:rFonts w:ascii="宋体" w:hAnsi="宋体" w:eastAsia="宋体" w:cs="宋体"/>
          <w:sz w:val="24"/>
          <w:szCs w:val="24"/>
        </w:rPr>
        <w:t>9</w:t>
      </w:r>
      <w:r>
        <w:rPr>
          <w:rFonts w:hint="eastAsia" w:ascii="宋体" w:hAnsi="宋体" w:eastAsia="宋体" w:cs="宋体"/>
          <w:sz w:val="24"/>
          <w:szCs w:val="24"/>
        </w:rPr>
        <w:t>点</w:t>
      </w:r>
      <w:r>
        <w:rPr>
          <w:rFonts w:ascii="宋体" w:hAnsi="宋体" w:eastAsia="宋体" w:cs="宋体"/>
          <w:sz w:val="24"/>
          <w:szCs w:val="24"/>
        </w:rPr>
        <w:t>3</w:t>
      </w:r>
      <w:r>
        <w:rPr>
          <w:rFonts w:hint="eastAsia" w:ascii="宋体" w:hAnsi="宋体" w:eastAsia="宋体" w:cs="宋体"/>
          <w:sz w:val="24"/>
          <w:szCs w:val="24"/>
        </w:rPr>
        <w:t>0分（北京时间）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安徽中技工程咨询有限公司“徽智采”平台，采用远程电子递交方式，不接受纸质响应文件，电子响应文件请通过“投标管家”于投标截止时间之前上传，递交截止时间后上传的响应文件不予接受。网上递交的响应文件应电子签章、加密，“投标管家”提供二维码扫描电子签章、加密功能。</w:t>
      </w:r>
    </w:p>
    <w:p>
      <w:pPr>
        <w:spacing w:line="360" w:lineRule="auto"/>
        <w:ind w:firstLine="435"/>
        <w:rPr>
          <w:rFonts w:ascii="宋体" w:hAnsi="宋体" w:eastAsia="宋体" w:cs="宋体"/>
          <w:b/>
          <w:sz w:val="24"/>
          <w:szCs w:val="24"/>
        </w:rPr>
      </w:pPr>
      <w:r>
        <w:rPr>
          <w:rFonts w:hint="eastAsia" w:ascii="宋体" w:hAnsi="宋体" w:eastAsia="宋体" w:cs="宋体"/>
          <w:b/>
          <w:sz w:val="24"/>
          <w:szCs w:val="24"/>
        </w:rPr>
        <w:t>五、开启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时间：2020年</w:t>
      </w:r>
      <w:r>
        <w:rPr>
          <w:rFonts w:ascii="宋体" w:hAnsi="宋体" w:eastAsia="宋体" w:cs="宋体"/>
          <w:sz w:val="24"/>
          <w:szCs w:val="24"/>
        </w:rPr>
        <w:t>11</w:t>
      </w:r>
      <w:r>
        <w:rPr>
          <w:rFonts w:hint="eastAsia" w:ascii="宋体" w:hAnsi="宋体" w:eastAsia="宋体" w:cs="宋体"/>
          <w:sz w:val="24"/>
          <w:szCs w:val="24"/>
        </w:rPr>
        <w:t>月</w:t>
      </w:r>
      <w:r>
        <w:rPr>
          <w:rFonts w:ascii="宋体" w:hAnsi="宋体" w:eastAsia="宋体" w:cs="宋体"/>
          <w:sz w:val="24"/>
          <w:szCs w:val="24"/>
        </w:rPr>
        <w:t>25</w:t>
      </w:r>
      <w:r>
        <w:rPr>
          <w:rFonts w:hint="eastAsia" w:ascii="宋体" w:hAnsi="宋体" w:eastAsia="宋体" w:cs="宋体"/>
          <w:sz w:val="24"/>
          <w:szCs w:val="24"/>
        </w:rPr>
        <w:t>日</w:t>
      </w:r>
      <w:r>
        <w:rPr>
          <w:rFonts w:ascii="宋体" w:hAnsi="宋体" w:eastAsia="宋体" w:cs="宋体"/>
          <w:sz w:val="24"/>
          <w:szCs w:val="24"/>
        </w:rPr>
        <w:t>9</w:t>
      </w:r>
      <w:r>
        <w:rPr>
          <w:rFonts w:hint="eastAsia" w:ascii="宋体" w:hAnsi="宋体" w:eastAsia="宋体" w:cs="宋体"/>
          <w:sz w:val="24"/>
          <w:szCs w:val="24"/>
        </w:rPr>
        <w:t>点</w:t>
      </w:r>
      <w:r>
        <w:rPr>
          <w:rFonts w:ascii="宋体" w:hAnsi="宋体" w:eastAsia="宋体" w:cs="宋体"/>
          <w:sz w:val="24"/>
          <w:szCs w:val="24"/>
        </w:rPr>
        <w:t>3</w:t>
      </w:r>
      <w:r>
        <w:rPr>
          <w:rFonts w:hint="eastAsia" w:ascii="宋体" w:hAnsi="宋体" w:eastAsia="宋体" w:cs="宋体"/>
          <w:sz w:val="24"/>
          <w:szCs w:val="24"/>
        </w:rPr>
        <w:t>0分（北京时间）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地点：安徽中技工程咨询有限公司“徽智采”平台解密开启。</w:t>
      </w:r>
    </w:p>
    <w:p>
      <w:pPr>
        <w:spacing w:line="360" w:lineRule="auto"/>
        <w:ind w:firstLine="435"/>
        <w:rPr>
          <w:rFonts w:ascii="宋体" w:hAnsi="宋体" w:eastAsia="宋体" w:cs="宋体"/>
          <w:bCs/>
          <w:sz w:val="24"/>
          <w:szCs w:val="24"/>
        </w:rPr>
      </w:pPr>
      <w:r>
        <w:rPr>
          <w:rFonts w:hint="eastAsia" w:ascii="宋体" w:hAnsi="宋体" w:eastAsia="宋体" w:cs="宋体"/>
          <w:b/>
          <w:sz w:val="24"/>
          <w:szCs w:val="24"/>
        </w:rPr>
        <w:t>六、公告期限</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自本公告自发布之日起 5 个工作日</w:t>
      </w:r>
    </w:p>
    <w:p>
      <w:pPr>
        <w:spacing w:line="360" w:lineRule="auto"/>
        <w:ind w:firstLine="435"/>
        <w:rPr>
          <w:rFonts w:ascii="宋体" w:hAnsi="宋体" w:eastAsia="宋体" w:cs="宋体"/>
          <w:b/>
          <w:sz w:val="24"/>
          <w:szCs w:val="24"/>
        </w:rPr>
      </w:pPr>
      <w:r>
        <w:rPr>
          <w:rFonts w:hint="eastAsia" w:ascii="宋体" w:hAnsi="宋体" w:eastAsia="宋体" w:cs="宋体"/>
          <w:b/>
          <w:sz w:val="24"/>
          <w:szCs w:val="24"/>
        </w:rPr>
        <w:t>七、其他补充事宜</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1.本项目落实中小微型企业扶持等相关政府采购政策。</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2.本次招标公告在安徽省政府采购网、“徽智采”平台上发布。</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3.供应商应合理安排采购文件获取时间，特别是网络速度慢的地区防止在系统关闭前网络拥堵无法操作。如果因计算机及网络故障造成无法完成采购文件获取，责任自负。</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4.注①：注册步骤如下（以下两项均须注册完成）：</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徽智采”平台注册：登录“徽智采”平台（网址：http://www.ahhzc.com/），点击“用户注册”，按照要求填写完善企业信息并上传相关附件，我司将对上传信息及附件进行审核，审核通过即完成平台的注册。具体注册操作详见“徽智采”平台首页“帮助专区”，同时须在PC下载安装“安徽中技投标管家”客户端（下载链接见“徽智采”平台首页“工具下载”）。</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手机“中招易采”APP注册：完成平台注册及客户端安装后，在手机应用商店中下载“中招易采”APP，按照要求填写注册信息，同时在APP线上完成CA证书的办理（购买单位证书请注意选择“安徽中技电子招标投标系统”），具体下载及注册操作详见“徽智采”平台首页“CA办理”。</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注②：“投标管家”的服务功能：供应商完成手机“中招易采”APP的注册，并通过扫码登录PC端“安徽中技投标管家”后方可电子投标，“安徽中技投标管家”为供应商提供的在线服务有：缴纳采购文件费用、下载采购文件、制作投标响应文件、扫码电子签章、扫码加密投标响应文件、递交投标响应文件、网上开标、扫码解密投标响应文件等。</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注册审核人：谢琼</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审核时间：每个工作日9:30-11:00,13:30-16:00（北京时间）</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系统操作指导人：谢琼13866184647、张雨沐15255472573</w:t>
      </w:r>
    </w:p>
    <w:p>
      <w:pPr>
        <w:pStyle w:val="2"/>
        <w:ind w:firstLine="482" w:firstLineChars="200"/>
        <w:rPr>
          <w:rFonts w:ascii="宋体" w:hAnsi="宋体" w:eastAsia="宋体" w:cs="宋体"/>
          <w:b/>
          <w:sz w:val="24"/>
          <w:lang w:val="en-US"/>
        </w:rPr>
      </w:pPr>
      <w:r>
        <w:rPr>
          <w:rFonts w:hint="eastAsia" w:ascii="宋体" w:hAnsi="宋体" w:eastAsia="宋体" w:cs="宋体"/>
          <w:b/>
          <w:sz w:val="24"/>
          <w:lang w:val="en-US"/>
        </w:rPr>
        <w:t>八、对本次采购提出询问，请按以下方式联系</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sz w:val="24"/>
          <w:szCs w:val="18"/>
        </w:rPr>
        <w:t>安徽交通职业技术学院</w:t>
      </w:r>
    </w:p>
    <w:p>
      <w:pPr>
        <w:spacing w:line="360" w:lineRule="auto"/>
        <w:ind w:firstLine="435"/>
        <w:rPr>
          <w:rFonts w:ascii="宋体" w:hAnsi="宋体" w:eastAsia="宋体"/>
          <w:sz w:val="24"/>
          <w:szCs w:val="18"/>
        </w:rPr>
      </w:pPr>
      <w:r>
        <w:rPr>
          <w:rFonts w:hint="eastAsia" w:ascii="宋体" w:hAnsi="宋体" w:eastAsia="宋体" w:cs="宋体"/>
          <w:sz w:val="24"/>
          <w:szCs w:val="24"/>
        </w:rPr>
        <w:t>地  址：</w:t>
      </w:r>
      <w:r>
        <w:rPr>
          <w:rFonts w:hint="eastAsia" w:ascii="宋体" w:hAnsi="宋体" w:eastAsia="宋体"/>
          <w:sz w:val="24"/>
          <w:szCs w:val="18"/>
        </w:rPr>
        <w:t>安徽省合肥市包河区太湖路19号</w:t>
      </w:r>
    </w:p>
    <w:p>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ascii="宋体" w:hAnsi="宋体" w:eastAsia="宋体"/>
          <w:sz w:val="24"/>
          <w:szCs w:val="18"/>
        </w:rPr>
        <w:t>娄老师0551</w:t>
      </w:r>
      <w:r>
        <w:rPr>
          <w:rFonts w:hint="eastAsia" w:ascii="宋体" w:hAnsi="宋体" w:eastAsia="宋体"/>
          <w:sz w:val="24"/>
          <w:szCs w:val="18"/>
        </w:rPr>
        <w:t>-</w:t>
      </w:r>
      <w:r>
        <w:rPr>
          <w:rFonts w:ascii="宋体" w:hAnsi="宋体" w:eastAsia="宋体"/>
          <w:sz w:val="24"/>
          <w:szCs w:val="18"/>
        </w:rPr>
        <w:t>63436282</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2.采购代理机构信息</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名  称：安徽中技工程咨询有限公司</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 xml:space="preserve">地  址：合肥市合作化南路27号 </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联系方式：夏海倩、陈振  0551-65149581-8</w:t>
      </w:r>
      <w:r>
        <w:rPr>
          <w:rFonts w:ascii="宋体" w:hAnsi="宋体" w:eastAsia="宋体" w:cs="宋体"/>
          <w:sz w:val="24"/>
          <w:szCs w:val="24"/>
        </w:rPr>
        <w:t>70</w:t>
      </w:r>
      <w:r>
        <w:rPr>
          <w:rFonts w:hint="eastAsia" w:ascii="宋体" w:hAnsi="宋体" w:eastAsia="宋体" w:cs="宋体"/>
          <w:sz w:val="24"/>
          <w:szCs w:val="24"/>
        </w:rPr>
        <w:t>、833、13</w:t>
      </w:r>
      <w:r>
        <w:rPr>
          <w:rFonts w:ascii="宋体" w:hAnsi="宋体" w:eastAsia="宋体" w:cs="宋体"/>
          <w:sz w:val="24"/>
          <w:szCs w:val="24"/>
        </w:rPr>
        <w:t>/85994543</w:t>
      </w:r>
    </w:p>
    <w:p>
      <w:pPr>
        <w:pStyle w:val="2"/>
        <w:rPr>
          <w:rFonts w:ascii="宋体" w:hAnsi="宋体" w:eastAsia="宋体" w:cs="宋体"/>
          <w:bCs/>
          <w:sz w:val="24"/>
          <w:lang w:val="en-US"/>
        </w:rPr>
      </w:pPr>
    </w:p>
    <w:p>
      <w:pPr>
        <w:spacing w:line="360" w:lineRule="auto"/>
        <w:jc w:val="right"/>
        <w:rPr>
          <w:rFonts w:ascii="宋体" w:hAnsi="宋体" w:eastAsia="宋体"/>
          <w:sz w:val="24"/>
          <w:szCs w:val="18"/>
        </w:rPr>
      </w:pPr>
      <w:r>
        <w:rPr>
          <w:rFonts w:hint="eastAsia" w:ascii="宋体" w:hAnsi="宋体" w:eastAsia="宋体" w:cs="宋体"/>
          <w:sz w:val="24"/>
          <w:szCs w:val="24"/>
        </w:rPr>
        <w:t>2020年</w:t>
      </w:r>
      <w:r>
        <w:rPr>
          <w:rFonts w:ascii="宋体" w:hAnsi="宋体" w:eastAsia="宋体" w:cs="宋体"/>
          <w:sz w:val="24"/>
          <w:szCs w:val="24"/>
        </w:rPr>
        <w:t>11</w:t>
      </w:r>
      <w:r>
        <w:rPr>
          <w:rFonts w:hint="eastAsia" w:ascii="宋体" w:hAnsi="宋体" w:eastAsia="宋体" w:cs="宋体"/>
          <w:sz w:val="24"/>
          <w:szCs w:val="24"/>
        </w:rPr>
        <w:t>月</w:t>
      </w:r>
      <w:r>
        <w:rPr>
          <w:rFonts w:ascii="宋体" w:hAnsi="宋体" w:eastAsia="宋体" w:cs="宋体"/>
          <w:sz w:val="24"/>
          <w:szCs w:val="24"/>
        </w:rPr>
        <w:t>13</w:t>
      </w:r>
      <w:r>
        <w:rPr>
          <w:rFonts w:hint="eastAsia" w:ascii="宋体" w:hAnsi="宋体" w:eastAsia="宋体" w:cs="宋体"/>
          <w:sz w:val="24"/>
          <w:szCs w:val="24"/>
        </w:rPr>
        <w:t>日</w:t>
      </w:r>
    </w:p>
    <w:p>
      <w:pPr>
        <w:spacing w:line="360" w:lineRule="auto"/>
        <w:jc w:val="right"/>
        <w:outlineLvl w:val="1"/>
        <w:rPr>
          <w:rFonts w:ascii="仿宋" w:hAnsi="仿宋" w:eastAsia="仿宋" w:cs="宋体"/>
          <w:kern w:val="0"/>
          <w:sz w:val="24"/>
          <w:szCs w:val="24"/>
        </w:rPr>
      </w:pPr>
    </w:p>
    <w:p>
      <w:pPr>
        <w:spacing w:line="360" w:lineRule="auto"/>
        <w:jc w:val="center"/>
        <w:outlineLvl w:val="1"/>
        <w:rPr>
          <w:rFonts w:ascii="仿宋" w:hAnsi="仿宋" w:eastAsia="仿宋" w:cs="宋体"/>
          <w:kern w:val="0"/>
          <w:sz w:val="24"/>
          <w:szCs w:val="24"/>
        </w:rPr>
      </w:pPr>
    </w:p>
    <w:p>
      <w:pPr>
        <w:spacing w:line="360" w:lineRule="auto"/>
        <w:outlineLvl w:val="1"/>
        <w:rPr>
          <w:rFonts w:ascii="仿宋" w:hAnsi="仿宋" w:eastAsia="仿宋" w:cs="宋体"/>
          <w:kern w:val="0"/>
          <w:sz w:val="24"/>
          <w:szCs w:val="24"/>
        </w:rPr>
      </w:pPr>
    </w:p>
    <w:p>
      <w:pPr>
        <w:spacing w:line="360" w:lineRule="auto"/>
        <w:jc w:val="center"/>
        <w:outlineLvl w:val="1"/>
        <w:rPr>
          <w:rFonts w:asciiTheme="minorEastAsia" w:hAnsiTheme="minorEastAsia" w:eastAsiaTheme="minorEastAsia"/>
          <w:b/>
          <w:sz w:val="28"/>
        </w:rPr>
      </w:pPr>
      <w:bookmarkStart w:id="2" w:name="_Toc9959"/>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2"/>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p>
    <w:p>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5"/>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02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2026" w:type="dxa"/>
            <w:vAlign w:val="center"/>
          </w:tcPr>
          <w:p>
            <w:pPr>
              <w:pStyle w:val="5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5469" w:type="dxa"/>
            <w:vAlign w:val="center"/>
          </w:tcPr>
          <w:p>
            <w:pPr>
              <w:pStyle w:val="5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采购人</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sz w:val="24"/>
                <w:szCs w:val="18"/>
                <w:u w:val="single"/>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2026" w:type="dxa"/>
            <w:vAlign w:val="center"/>
          </w:tcPr>
          <w:p>
            <w:pPr>
              <w:pStyle w:val="56"/>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采购代理机构</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bCs w:val="0"/>
                <w:sz w:val="24"/>
                <w:szCs w:val="18"/>
                <w:u w:val="single"/>
              </w:rPr>
              <w:t>安徽中技工程咨询有限公司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是否为专门面向中小企业采购</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 xml:space="preserve">□是  </w:t>
            </w:r>
            <w:r>
              <w:rPr>
                <w:rFonts w:hint="eastAsia" w:ascii="宋体" w:hAnsi="宋体" w:eastAsia="宋体"/>
                <w:b w:val="0"/>
                <w:sz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.5</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是否允许联合体参加磋商</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ascii="宋体" w:hAnsi="宋体" w:eastAsia="宋体"/>
                <w:b w:val="0"/>
                <w:bCs w:val="0"/>
                <w:sz w:val="24"/>
                <w:szCs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现场踏勘</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rPr>
              <w:sym w:font="Wingdings 2" w:char="0052"/>
            </w:r>
            <w:r>
              <w:rPr>
                <w:rFonts w:hint="eastAsia" w:ascii="宋体" w:hAnsi="宋体" w:eastAsia="宋体"/>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8</w:t>
            </w:r>
            <w:r>
              <w:rPr>
                <w:rFonts w:ascii="宋体" w:hAnsi="宋体" w:eastAsia="宋体"/>
                <w:bCs/>
                <w:kern w:val="2"/>
              </w:rPr>
              <w:t>.1</w:t>
            </w:r>
          </w:p>
        </w:tc>
        <w:tc>
          <w:tcPr>
            <w:tcW w:w="2026" w:type="dxa"/>
            <w:vAlign w:val="center"/>
          </w:tcPr>
          <w:p>
            <w:pPr>
              <w:spacing w:line="360" w:lineRule="auto"/>
              <w:rPr>
                <w:rFonts w:ascii="宋体" w:hAnsi="宋体" w:eastAsia="宋体"/>
                <w:sz w:val="24"/>
              </w:rPr>
            </w:pPr>
            <w:r>
              <w:rPr>
                <w:rFonts w:hint="eastAsia" w:ascii="宋体" w:hAnsi="宋体" w:eastAsia="宋体"/>
                <w:bCs/>
                <w:sz w:val="24"/>
              </w:rPr>
              <w:t>答疑</w:t>
            </w:r>
          </w:p>
        </w:tc>
        <w:tc>
          <w:tcPr>
            <w:tcW w:w="5469" w:type="dxa"/>
            <w:vAlign w:val="center"/>
          </w:tcPr>
          <w:p>
            <w:pPr>
              <w:spacing w:line="500" w:lineRule="exact"/>
              <w:rPr>
                <w:rFonts w:ascii="宋体" w:hAnsi="宋体" w:eastAsia="宋体"/>
                <w:b/>
                <w:bCs/>
                <w:sz w:val="24"/>
              </w:rPr>
            </w:pPr>
            <w:r>
              <w:rPr>
                <w:rFonts w:hint="eastAsia" w:ascii="宋体" w:hAnsi="宋体" w:eastAsia="宋体"/>
                <w:b/>
                <w:bCs/>
                <w:sz w:val="24"/>
                <w:u w:val="single"/>
              </w:rPr>
              <w:t>2020</w:t>
            </w:r>
            <w:r>
              <w:rPr>
                <w:rFonts w:hint="eastAsia" w:ascii="宋体" w:hAnsi="宋体" w:eastAsia="宋体"/>
                <w:b/>
                <w:bCs/>
                <w:sz w:val="24"/>
              </w:rPr>
              <w:t>年</w:t>
            </w:r>
            <w:r>
              <w:rPr>
                <w:rFonts w:ascii="宋体" w:hAnsi="宋体" w:eastAsia="宋体"/>
                <w:b/>
                <w:bCs/>
                <w:sz w:val="24"/>
                <w:u w:val="single"/>
              </w:rPr>
              <w:t>11</w:t>
            </w:r>
            <w:r>
              <w:rPr>
                <w:rFonts w:hint="eastAsia" w:ascii="宋体" w:hAnsi="宋体" w:eastAsia="宋体"/>
                <w:b/>
                <w:bCs/>
                <w:sz w:val="24"/>
              </w:rPr>
              <w:t>月</w:t>
            </w:r>
            <w:r>
              <w:rPr>
                <w:rFonts w:ascii="宋体" w:hAnsi="宋体" w:eastAsia="宋体"/>
                <w:b/>
                <w:bCs/>
                <w:sz w:val="24"/>
                <w:u w:val="single"/>
              </w:rPr>
              <w:t>22</w:t>
            </w:r>
            <w:r>
              <w:rPr>
                <w:rFonts w:hint="eastAsia" w:ascii="宋体" w:hAnsi="宋体" w:eastAsia="宋体"/>
                <w:b/>
                <w:bCs/>
                <w:sz w:val="24"/>
              </w:rPr>
              <w:t>日17:0</w:t>
            </w:r>
            <w:r>
              <w:rPr>
                <w:rFonts w:ascii="宋体" w:hAnsi="宋体" w:eastAsia="宋体"/>
                <w:b/>
                <w:bCs/>
                <w:sz w:val="24"/>
              </w:rPr>
              <w:t>0</w:t>
            </w:r>
            <w:r>
              <w:rPr>
                <w:rFonts w:hint="eastAsia" w:ascii="宋体" w:hAnsi="宋体" w:eastAsia="宋体"/>
                <w:b/>
                <w:bCs/>
                <w:sz w:val="24"/>
              </w:rPr>
              <w:t>时前接受网上答疑（逾期不予受理）。</w:t>
            </w:r>
          </w:p>
          <w:p>
            <w:pPr>
              <w:spacing w:line="360" w:lineRule="auto"/>
              <w:ind w:firstLine="482" w:firstLineChars="200"/>
              <w:rPr>
                <w:rFonts w:ascii="宋体" w:hAnsi="宋体" w:eastAsia="宋体"/>
                <w:sz w:val="24"/>
              </w:rPr>
            </w:pPr>
            <w:r>
              <w:rPr>
                <w:rFonts w:hint="eastAsia" w:ascii="宋体" w:hAnsi="宋体" w:eastAsia="宋体"/>
                <w:b/>
                <w:sz w:val="24"/>
              </w:rPr>
              <w:t>供应商请注意：</w:t>
            </w:r>
            <w:r>
              <w:rPr>
                <w:rFonts w:hint="eastAsia" w:ascii="宋体" w:hAnsi="宋体" w:eastAsia="宋体"/>
                <w:bCs/>
                <w:sz w:val="24"/>
              </w:rPr>
              <w:t>采购人或代理机构对磋商文件进行的澄清、更正或更改，将在网站上及时发布，该公告内容为磋商文件的组成部分，对供应商具有同样约束力效力。供应商应主动上网查询。采购人或代理机构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ascii="宋体" w:hAnsi="宋体" w:eastAsia="宋体"/>
                <w:b w:val="0"/>
                <w:sz w:val="24"/>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（1）金额：</w:t>
            </w:r>
          </w:p>
          <w:p>
            <w:pPr>
              <w:pStyle w:val="56"/>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hint="eastAsia" w:ascii="宋体" w:hAnsi="宋体" w:eastAsia="宋体"/>
                <w:b w:val="0"/>
                <w:sz w:val="24"/>
              </w:rPr>
              <w:t>人民币</w:t>
            </w:r>
            <w:r>
              <w:rPr>
                <w:rFonts w:hint="eastAsia" w:ascii="宋体" w:hAnsi="宋体" w:eastAsia="宋体"/>
                <w:b w:val="0"/>
                <w:sz w:val="24"/>
                <w:u w:val="single"/>
              </w:rPr>
              <w:t>叁万</w:t>
            </w:r>
            <w:r>
              <w:rPr>
                <w:rFonts w:ascii="宋体" w:hAnsi="宋体" w:eastAsia="宋体"/>
                <w:b w:val="0"/>
                <w:sz w:val="24"/>
              </w:rPr>
              <w:t>元</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（2）支付方式：</w:t>
            </w:r>
          </w:p>
          <w:p>
            <w:pPr>
              <w:pStyle w:val="56"/>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ascii="宋体" w:hAnsi="宋体" w:eastAsia="宋体"/>
                <w:b w:val="0"/>
                <w:sz w:val="24"/>
              </w:rPr>
              <w:t xml:space="preserve">转账/电汇 </w:t>
            </w:r>
            <w:r>
              <w:rPr>
                <w:rFonts w:hint="eastAsia" w:ascii="宋体" w:hAnsi="宋体" w:eastAsia="宋体"/>
                <w:b w:val="0"/>
                <w:sz w:val="24"/>
              </w:rPr>
              <w:t xml:space="preserve"> </w:t>
            </w:r>
            <w:r>
              <w:rPr>
                <w:rFonts w:ascii="宋体" w:hAnsi="宋体" w:eastAsia="宋体"/>
                <w:b w:val="0"/>
                <w:sz w:val="24"/>
              </w:rPr>
              <w:t>□支票  □汇票</w:t>
            </w:r>
            <w:r>
              <w:rPr>
                <w:rFonts w:hint="eastAsia" w:ascii="宋体" w:hAnsi="宋体" w:eastAsia="宋体"/>
                <w:b w:val="0"/>
                <w:sz w:val="24"/>
              </w:rPr>
              <w:t xml:space="preserve">  </w:t>
            </w:r>
            <w:r>
              <w:rPr>
                <w:rFonts w:hint="eastAsia" w:ascii="宋体" w:hAnsi="宋体" w:eastAsia="宋体"/>
                <w:b w:val="0"/>
                <w:sz w:val="24"/>
              </w:rPr>
              <w:sym w:font="Wingdings 2" w:char="00A3"/>
            </w:r>
            <w:r>
              <w:rPr>
                <w:rFonts w:hint="eastAsia" w:ascii="宋体" w:hAnsi="宋体" w:eastAsia="宋体"/>
                <w:b w:val="0"/>
                <w:sz w:val="24"/>
              </w:rPr>
              <w:t>本票</w:t>
            </w:r>
            <w:r>
              <w:rPr>
                <w:rFonts w:ascii="宋体" w:hAnsi="宋体" w:eastAsia="宋体"/>
                <w:b w:val="0"/>
                <w:sz w:val="24"/>
              </w:rPr>
              <w:t xml:space="preserve"> </w:t>
            </w:r>
            <w:r>
              <w:rPr>
                <w:rFonts w:hint="eastAsia" w:ascii="宋体" w:hAnsi="宋体" w:eastAsia="宋体"/>
                <w:b w:val="0"/>
                <w:sz w:val="24"/>
              </w:rPr>
              <w:t xml:space="preserve"> </w:t>
            </w:r>
            <w:r>
              <w:rPr>
                <w:rFonts w:hint="eastAsia" w:ascii="宋体" w:hAnsi="宋体" w:eastAsia="宋体"/>
                <w:b w:val="0"/>
                <w:sz w:val="24"/>
              </w:rPr>
              <w:sym w:font="Wingdings 2" w:char="0052"/>
            </w:r>
            <w:r>
              <w:rPr>
                <w:rFonts w:ascii="宋体" w:hAnsi="宋体" w:eastAsia="宋体"/>
                <w:b w:val="0"/>
                <w:sz w:val="24"/>
              </w:rPr>
              <w:t>保函</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开户名称：安徽中技工程咨询有限公司</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开户银行：交通银行合肥黄山路支行</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帐    号：341314000018150070757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13.</w:t>
            </w:r>
            <w:r>
              <w:rPr>
                <w:rFonts w:ascii="宋体" w:hAnsi="宋体" w:eastAsia="宋体"/>
                <w:bCs/>
                <w:kern w:val="2"/>
              </w:rPr>
              <w:t>6</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不予退还磋商保证金的情形</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 xml:space="preserve">详见供应商须知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响应文件要求</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加密电子响应文件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5.3</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磋商现场提交的其他材料要求</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r>
              <w:rPr>
                <w:rFonts w:hint="eastAsia" w:ascii="宋体" w:hAnsi="宋体" w:eastAsia="宋体"/>
                <w:b w:val="0"/>
                <w:bCs w:val="0"/>
                <w:sz w:val="24"/>
                <w:szCs w:val="18"/>
                <w:u w:val="single"/>
              </w:rPr>
              <w:t>无</w:t>
            </w:r>
            <w:r>
              <w:rPr>
                <w:rFonts w:ascii="宋体" w:hAnsi="宋体" w:eastAsia="宋体"/>
                <w:b w:val="0"/>
                <w:bCs w:val="0"/>
                <w:sz w:val="24"/>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6.1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响应文件提交截止时间</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详见磋商公告（磋商邀请）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7.3</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响应文件解密时间</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响应文件提交截止时间后3</w:t>
            </w:r>
            <w:r>
              <w:rPr>
                <w:rFonts w:ascii="宋体" w:hAnsi="宋体" w:eastAsia="宋体"/>
                <w:b w:val="0"/>
                <w:sz w:val="24"/>
                <w:u w:val="single"/>
              </w:rPr>
              <w:t>0</w:t>
            </w:r>
            <w:r>
              <w:rPr>
                <w:rFonts w:hint="eastAsia" w:ascii="宋体" w:hAnsi="宋体" w:eastAsia="宋体"/>
                <w:b w:val="0"/>
                <w:sz w:val="24"/>
                <w:u w:val="single"/>
              </w:rPr>
              <w:t>分钟内（以徽智采平台解密倒计时为准）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restart"/>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磋商时间</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详见磋商公告（磋商邀请）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continue"/>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磋商地点</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详见磋商公告（磋商邀请）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hint="eastAsia" w:ascii="宋体" w:hAnsi="宋体" w:eastAsia="宋体"/>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w:t>
            </w:r>
            <w:r>
              <w:rPr>
                <w:rFonts w:hint="eastAsia" w:ascii="宋体" w:hAnsi="宋体" w:eastAsia="宋体"/>
                <w:bCs/>
                <w:kern w:val="2"/>
              </w:rPr>
              <w:t>4</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最后报价扣除</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（1）中小企业价格扣除：</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①中型企业：</w:t>
            </w:r>
            <w:r>
              <w:rPr>
                <w:rFonts w:hint="eastAsia" w:ascii="宋体" w:hAnsi="宋体" w:eastAsia="宋体"/>
                <w:b w:val="0"/>
                <w:sz w:val="24"/>
                <w:u w:val="single"/>
              </w:rPr>
              <w:t xml:space="preserve"> </w:t>
            </w:r>
            <w:r>
              <w:rPr>
                <w:rFonts w:ascii="宋体" w:hAnsi="宋体" w:eastAsia="宋体"/>
                <w:b w:val="0"/>
                <w:sz w:val="24"/>
                <w:u w:val="single"/>
              </w:rPr>
              <w:t xml:space="preserve">3 </w:t>
            </w:r>
            <w:r>
              <w:rPr>
                <w:rFonts w:ascii="宋体" w:hAnsi="宋体" w:eastAsia="宋体"/>
                <w:b w:val="0"/>
                <w:sz w:val="24"/>
              </w:rPr>
              <w:t>%</w:t>
            </w:r>
            <w:r>
              <w:rPr>
                <w:rFonts w:hint="eastAsia" w:ascii="宋体" w:hAnsi="宋体" w:eastAsia="宋体"/>
                <w:b w:val="0"/>
                <w:sz w:val="24"/>
              </w:rPr>
              <w:t>；</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小型和微型企业</w:t>
            </w:r>
            <w:r>
              <w:rPr>
                <w:rFonts w:hint="eastAsia" w:ascii="宋体" w:hAnsi="宋体" w:eastAsia="宋体"/>
                <w:b w:val="0"/>
                <w:sz w:val="24"/>
              </w:rPr>
              <w:t>：</w:t>
            </w:r>
            <w:r>
              <w:rPr>
                <w:rFonts w:hint="eastAsia" w:ascii="宋体" w:hAnsi="宋体" w:eastAsia="宋体"/>
                <w:b w:val="0"/>
                <w:sz w:val="24"/>
                <w:u w:val="single"/>
              </w:rPr>
              <w:t xml:space="preserve"> </w:t>
            </w:r>
            <w:r>
              <w:rPr>
                <w:rFonts w:ascii="宋体" w:hAnsi="宋体" w:eastAsia="宋体"/>
                <w:b w:val="0"/>
                <w:sz w:val="24"/>
                <w:u w:val="single"/>
              </w:rPr>
              <w:t xml:space="preserve">6 </w:t>
            </w:r>
            <w:r>
              <w:rPr>
                <w:rFonts w:ascii="宋体" w:hAnsi="宋体" w:eastAsia="宋体"/>
                <w:b w:val="0"/>
                <w:sz w:val="24"/>
              </w:rPr>
              <w:t>%</w:t>
            </w:r>
            <w:r>
              <w:rPr>
                <w:rFonts w:hint="eastAsia" w:ascii="宋体" w:hAnsi="宋体" w:eastAsia="宋体"/>
                <w:b w:val="0"/>
                <w:sz w:val="24"/>
              </w:rPr>
              <w:t>。</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w:t>
            </w:r>
            <w:r>
              <w:rPr>
                <w:rFonts w:hint="eastAsia" w:ascii="宋体" w:hAnsi="宋体" w:eastAsia="宋体"/>
                <w:b w:val="0"/>
                <w:sz w:val="24"/>
                <w:u w:val="single"/>
              </w:rPr>
              <w:t>同</w:t>
            </w:r>
            <w:r>
              <w:rPr>
                <w:rFonts w:ascii="宋体" w:hAnsi="宋体" w:eastAsia="宋体"/>
                <w:b w:val="0"/>
                <w:sz w:val="24"/>
                <w:u w:val="single"/>
              </w:rPr>
              <w:t>小型和微型企业</w:t>
            </w:r>
            <w:r>
              <w:rPr>
                <w:rFonts w:hint="eastAsia" w:ascii="宋体" w:hAnsi="宋体" w:eastAsia="宋体"/>
                <w:b w:val="0"/>
                <w:sz w:val="24"/>
              </w:rPr>
              <w:t>。</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w:t>
            </w:r>
            <w:r>
              <w:rPr>
                <w:rFonts w:hint="eastAsia" w:ascii="宋体" w:hAnsi="宋体" w:eastAsia="宋体"/>
                <w:b w:val="0"/>
                <w:sz w:val="24"/>
                <w:u w:val="single"/>
              </w:rPr>
              <w:t>同</w:t>
            </w:r>
            <w:r>
              <w:rPr>
                <w:rFonts w:ascii="宋体" w:hAnsi="宋体" w:eastAsia="宋体"/>
                <w:b w:val="0"/>
                <w:sz w:val="24"/>
                <w:u w:val="single"/>
              </w:rPr>
              <w:t>小型和微型企业</w:t>
            </w:r>
            <w:r>
              <w:rPr>
                <w:rFonts w:hint="eastAsia" w:ascii="宋体" w:hAnsi="宋体" w:eastAsia="宋体"/>
                <w:b w:val="0"/>
                <w:sz w:val="24"/>
              </w:rPr>
              <w:t>。</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w:t>
            </w:r>
            <w:r>
              <w:rPr>
                <w:rFonts w:ascii="宋体" w:hAnsi="宋体" w:eastAsia="宋体"/>
                <w:b w:val="0"/>
                <w:sz w:val="24"/>
                <w:u w:val="single"/>
              </w:rPr>
              <w:t xml:space="preserve">2 </w:t>
            </w:r>
            <w:r>
              <w:rPr>
                <w:rFonts w:ascii="宋体" w:hAnsi="宋体" w:eastAsia="宋体"/>
                <w:b w:val="0"/>
                <w:sz w:val="24"/>
              </w:rPr>
              <w:t>%</w:t>
            </w:r>
            <w:r>
              <w:rPr>
                <w:rFonts w:hint="eastAsia" w:ascii="宋体" w:hAnsi="宋体" w:eastAsia="宋体"/>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restart"/>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2026" w:type="dxa"/>
            <w:vMerge w:val="restart"/>
            <w:vAlign w:val="center"/>
          </w:tcPr>
          <w:p>
            <w:pPr>
              <w:pStyle w:val="56"/>
              <w:widowControl w:val="0"/>
              <w:spacing w:before="0" w:beforeAutospacing="0" w:after="0" w:afterAutospacing="0" w:line="360" w:lineRule="auto"/>
              <w:jc w:val="both"/>
              <w:rPr>
                <w:rFonts w:ascii="宋体" w:hAnsi="宋体" w:eastAsia="宋体" w:cs="宋体"/>
                <w:b w:val="0"/>
                <w:sz w:val="24"/>
              </w:rPr>
            </w:pPr>
            <w:r>
              <w:rPr>
                <w:rFonts w:hint="eastAsia" w:ascii="宋体" w:hAnsi="宋体" w:eastAsia="宋体" w:cs="宋体"/>
                <w:b w:val="0"/>
                <w:sz w:val="24"/>
              </w:rPr>
              <w:t>确定成交候选供应商和成交供应商</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数量</w:t>
            </w:r>
            <w:r>
              <w:rPr>
                <w:rFonts w:hint="eastAsia" w:ascii="宋体" w:hAnsi="宋体" w:eastAsia="宋体"/>
                <w:b w:val="0"/>
                <w:sz w:val="24"/>
              </w:rPr>
              <w:t>：</w:t>
            </w:r>
            <w:r>
              <w:rPr>
                <w:rFonts w:ascii="宋体" w:hAnsi="宋体" w:eastAsia="宋体"/>
                <w:b w:val="0"/>
                <w:sz w:val="24"/>
                <w:u w:val="single"/>
              </w:rPr>
              <w:t>1</w:t>
            </w:r>
            <w:r>
              <w:rPr>
                <w:rFonts w:hint="eastAsia" w:ascii="宋体" w:hAnsi="宋体" w:eastAsia="宋体"/>
                <w:b w:val="0"/>
                <w:sz w:val="24"/>
                <w:u w:val="single"/>
              </w:rPr>
              <w:t>~</w:t>
            </w:r>
            <w:r>
              <w:rPr>
                <w:rFonts w:ascii="宋体" w:hAnsi="宋体" w:eastAsia="宋体"/>
                <w:b w:val="0"/>
                <w:sz w:val="24"/>
                <w:u w:val="single"/>
              </w:rPr>
              <w:t xml:space="preserve">3名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Merge w:val="continue"/>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2026" w:type="dxa"/>
            <w:vMerge w:val="continue"/>
            <w:vAlign w:val="center"/>
          </w:tcPr>
          <w:p>
            <w:pPr>
              <w:pStyle w:val="56"/>
              <w:widowControl w:val="0"/>
              <w:spacing w:before="0" w:beforeAutospacing="0" w:after="0" w:afterAutospacing="0" w:line="360" w:lineRule="auto"/>
              <w:jc w:val="both"/>
              <w:rPr>
                <w:rFonts w:ascii="宋体" w:hAnsi="宋体" w:eastAsia="宋体"/>
                <w:b w:val="0"/>
                <w:sz w:val="24"/>
              </w:rPr>
            </w:pP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2" w:char="00A3"/>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w:t>
            </w:r>
            <w:r>
              <w:rPr>
                <w:rFonts w:ascii="宋体" w:hAnsi="宋体" w:eastAsia="宋体"/>
                <w:b w:val="0"/>
                <w:bCs w:val="0"/>
                <w:sz w:val="24"/>
                <w:szCs w:val="24"/>
              </w:rPr>
              <w:sym w:font="Wingdings 2" w:char="0052"/>
            </w:r>
            <w:r>
              <w:rPr>
                <w:rFonts w:hint="eastAsia" w:ascii="宋体" w:hAnsi="宋体" w:eastAsia="宋体"/>
                <w:b w:val="0"/>
                <w:sz w:val="24"/>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2</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随成交公告同时公告的成交供应商的响应文件内容</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sz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5469" w:type="dxa"/>
            <w:vAlign w:val="center"/>
          </w:tcPr>
          <w:p>
            <w:pPr>
              <w:pStyle w:val="56"/>
              <w:widowControl w:val="0"/>
              <w:spacing w:before="0" w:beforeAutospacing="0" w:after="0" w:afterAutospacing="0" w:line="360" w:lineRule="auto"/>
              <w:jc w:val="both"/>
              <w:rPr>
                <w:rFonts w:ascii="宋体" w:hAnsi="宋体" w:eastAsia="宋体"/>
                <w:b w:val="0"/>
                <w:bCs w:val="0"/>
                <w:sz w:val="24"/>
                <w:szCs w:val="24"/>
              </w:rPr>
            </w:pPr>
            <w:r>
              <w:rPr>
                <w:rFonts w:ascii="宋体" w:hAnsi="宋体" w:eastAsia="宋体"/>
                <w:b w:val="0"/>
                <w:bCs w:val="0"/>
                <w:sz w:val="24"/>
                <w:szCs w:val="24"/>
              </w:rPr>
              <w:sym w:font="Wingdings 2" w:char="0052"/>
            </w:r>
            <w:r>
              <w:rPr>
                <w:rFonts w:hint="eastAsia" w:ascii="宋体" w:hAnsi="宋体" w:eastAsia="宋体"/>
                <w:b w:val="0"/>
                <w:bCs w:val="0"/>
                <w:sz w:val="24"/>
                <w:szCs w:val="24"/>
              </w:rPr>
              <w:t>供应商自行登录电子服务系统或安徽省政府采购网查看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履约保证金</w:t>
            </w:r>
          </w:p>
        </w:tc>
        <w:tc>
          <w:tcPr>
            <w:tcW w:w="5469" w:type="dxa"/>
            <w:vAlign w:val="center"/>
          </w:tcPr>
          <w:p>
            <w:pPr>
              <w:spacing w:line="500" w:lineRule="exact"/>
              <w:rPr>
                <w:rFonts w:ascii="宋体" w:hAnsi="宋体" w:eastAsia="宋体"/>
                <w:kern w:val="0"/>
                <w:sz w:val="24"/>
                <w:szCs w:val="24"/>
              </w:rPr>
            </w:pPr>
            <w:r>
              <w:rPr>
                <w:rFonts w:hint="eastAsia" w:ascii="宋体" w:hAnsi="宋体" w:eastAsia="宋体"/>
                <w:kern w:val="0"/>
                <w:sz w:val="24"/>
                <w:szCs w:val="24"/>
              </w:rPr>
              <w:t>合同价的</w:t>
            </w:r>
            <w:r>
              <w:rPr>
                <w:rFonts w:hint="eastAsia" w:ascii="宋体" w:hAnsi="宋体" w:eastAsia="宋体"/>
                <w:kern w:val="0"/>
                <w:sz w:val="24"/>
                <w:szCs w:val="24"/>
                <w:u w:val="single"/>
              </w:rPr>
              <w:t xml:space="preserve"> 5</w:t>
            </w:r>
            <w:r>
              <w:rPr>
                <w:rFonts w:hint="eastAsia" w:ascii="宋体" w:hAnsi="宋体" w:eastAsia="宋体"/>
                <w:kern w:val="0"/>
                <w:sz w:val="24"/>
                <w:szCs w:val="24"/>
              </w:rPr>
              <w:t xml:space="preserve"> %（保留到百位数）。</w:t>
            </w:r>
          </w:p>
          <w:p>
            <w:pPr>
              <w:spacing w:line="500" w:lineRule="exact"/>
              <w:rPr>
                <w:rFonts w:ascii="宋体" w:hAnsi="宋体" w:eastAsia="宋体"/>
                <w:sz w:val="24"/>
                <w:szCs w:val="24"/>
              </w:rPr>
            </w:pPr>
            <w:r>
              <w:rPr>
                <w:rFonts w:hint="eastAsia" w:ascii="宋体" w:hAnsi="宋体" w:eastAsia="宋体"/>
                <w:kern w:val="0"/>
                <w:sz w:val="24"/>
                <w:szCs w:val="24"/>
              </w:rPr>
              <w:t>收受方式为：转账/电汇，收受人为采购人。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5469" w:type="dxa"/>
            <w:vAlign w:val="center"/>
          </w:tcPr>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b w:val="0"/>
                <w:sz w:val="24"/>
              </w:rPr>
              <w:t>（1）按下列标准收取：参照国家发展计委计价格〔2002〕1980号文及国家发改委计办〔2003〕857号文规定的收费标准（服务类）的7</w:t>
            </w:r>
            <w:r>
              <w:rPr>
                <w:rFonts w:ascii="宋体" w:hAnsi="宋体" w:eastAsia="宋体"/>
                <w:b w:val="0"/>
                <w:sz w:val="24"/>
              </w:rPr>
              <w:t>0</w:t>
            </w:r>
            <w:r>
              <w:rPr>
                <w:rFonts w:hint="eastAsia" w:ascii="宋体" w:hAnsi="宋体" w:eastAsia="宋体"/>
                <w:b w:val="0"/>
                <w:sz w:val="24"/>
              </w:rPr>
              <w:t>%</w:t>
            </w:r>
            <w:r>
              <w:rPr>
                <w:rFonts w:ascii="宋体" w:hAnsi="宋体" w:eastAsia="宋体"/>
                <w:b w:val="0"/>
                <w:sz w:val="24"/>
              </w:rPr>
              <w:t>向</w:t>
            </w:r>
            <w:r>
              <w:rPr>
                <w:rFonts w:hint="eastAsia" w:ascii="宋体" w:hAnsi="宋体" w:eastAsia="宋体"/>
                <w:b w:val="0"/>
                <w:sz w:val="24"/>
              </w:rPr>
              <w:t>采购</w:t>
            </w:r>
            <w:r>
              <w:rPr>
                <w:rFonts w:ascii="宋体" w:hAnsi="宋体" w:eastAsia="宋体"/>
                <w:b w:val="0"/>
                <w:sz w:val="24"/>
              </w:rPr>
              <w:t>代理机构交纳</w:t>
            </w:r>
            <w:r>
              <w:rPr>
                <w:rFonts w:hint="eastAsia" w:ascii="宋体" w:hAnsi="宋体" w:eastAsia="宋体"/>
                <w:b w:val="0"/>
                <w:sz w:val="24"/>
              </w:rPr>
              <w:t>采购</w:t>
            </w:r>
            <w:r>
              <w:rPr>
                <w:rFonts w:ascii="宋体" w:hAnsi="宋体" w:eastAsia="宋体"/>
                <w:b w:val="0"/>
                <w:sz w:val="24"/>
              </w:rPr>
              <w:t>代理服务费，</w:t>
            </w:r>
            <w:r>
              <w:rPr>
                <w:rFonts w:hint="eastAsia" w:ascii="宋体" w:hAnsi="宋体" w:eastAsia="宋体"/>
                <w:b w:val="0"/>
                <w:sz w:val="24"/>
              </w:rPr>
              <w:t>成交</w:t>
            </w:r>
            <w:r>
              <w:rPr>
                <w:rFonts w:ascii="宋体" w:hAnsi="宋体" w:eastAsia="宋体"/>
                <w:b w:val="0"/>
                <w:sz w:val="24"/>
              </w:rPr>
              <w:t>供应商须另行支付专家评审费（以实际发放金额为准，无发票）</w:t>
            </w:r>
            <w:r>
              <w:rPr>
                <w:rFonts w:hint="eastAsia" w:ascii="宋体" w:hAnsi="宋体" w:eastAsia="宋体"/>
                <w:b w:val="0"/>
                <w:sz w:val="24"/>
              </w:rPr>
              <w:t>。</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（2）支付方式：</w:t>
            </w:r>
            <w:r>
              <w:rPr>
                <w:rFonts w:ascii="宋体" w:hAnsi="宋体" w:eastAsia="宋体"/>
                <w:b w:val="0"/>
                <w:sz w:val="24"/>
                <w:szCs w:val="24"/>
              </w:rPr>
              <w:sym w:font="Wingdings 2" w:char="0052"/>
            </w:r>
            <w:r>
              <w:rPr>
                <w:rFonts w:ascii="宋体" w:hAnsi="宋体" w:eastAsia="宋体"/>
                <w:b w:val="0"/>
                <w:sz w:val="24"/>
              </w:rPr>
              <w:t>转账/电汇</w:t>
            </w:r>
          </w:p>
          <w:p>
            <w:pPr>
              <w:pStyle w:val="5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安徽中技工程咨询有限公司</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开户名称：安徽中技工程咨询有限公司</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开户银行：交通银行合肥黄山路支行</w:t>
            </w:r>
          </w:p>
          <w:p>
            <w:pPr>
              <w:pStyle w:val="56"/>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帐    号：341314000018150070757</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hint="eastAsia" w:ascii="宋体" w:hAnsi="宋体" w:eastAsia="宋体"/>
                <w:b w:val="0"/>
                <w:sz w:val="24"/>
                <w:u w:val="single"/>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34</w:t>
            </w:r>
            <w:r>
              <w:rPr>
                <w:rFonts w:ascii="宋体" w:hAnsi="宋体" w:eastAsia="宋体"/>
                <w:bCs/>
                <w:kern w:val="2"/>
              </w:rPr>
              <w:t>.3</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递交方式：书面形式</w:t>
            </w:r>
          </w:p>
          <w:p>
            <w:pPr>
              <w:pStyle w:val="56"/>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b w:val="0"/>
                <w:bCs w:val="0"/>
                <w:sz w:val="24"/>
                <w:szCs w:val="18"/>
              </w:rPr>
              <w:t>采购人或采购代理机构</w:t>
            </w:r>
            <w:r>
              <w:rPr>
                <w:rFonts w:ascii="宋体" w:hAnsi="宋体" w:eastAsia="宋体"/>
                <w:b w:val="0"/>
                <w:bCs w:val="0"/>
                <w:sz w:val="24"/>
                <w:szCs w:val="18"/>
              </w:rPr>
              <w:t xml:space="preserve">  </w:t>
            </w:r>
          </w:p>
          <w:p>
            <w:pPr>
              <w:pStyle w:val="56"/>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sz w:val="24"/>
              </w:rPr>
              <w:t>详见磋商公告</w:t>
            </w:r>
            <w:r>
              <w:rPr>
                <w:rFonts w:ascii="宋体" w:hAnsi="宋体" w:eastAsia="宋体"/>
                <w:b w:val="0"/>
                <w:bCs w:val="0"/>
                <w:sz w:val="24"/>
                <w:szCs w:val="18"/>
              </w:rPr>
              <w:t xml:space="preserve">        </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b w:val="0"/>
                <w:bCs w:val="0"/>
                <w:sz w:val="24"/>
                <w:szCs w:val="18"/>
              </w:rPr>
              <w:t xml:space="preserve"> </w:t>
            </w:r>
            <w:r>
              <w:rPr>
                <w:rFonts w:hint="eastAsia" w:ascii="宋体" w:hAnsi="宋体" w:eastAsia="宋体"/>
                <w:b w:val="0"/>
                <w:sz w:val="24"/>
              </w:rPr>
              <w:t>详见磋商公告</w:t>
            </w:r>
            <w:r>
              <w:rPr>
                <w:rFonts w:ascii="宋体" w:hAnsi="宋体" w:eastAsia="宋体"/>
                <w:b w:val="0"/>
                <w:bCs w:val="0"/>
                <w:sz w:val="24"/>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.1</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关于联合体参加磋商的相关约定</w:t>
            </w:r>
          </w:p>
        </w:tc>
        <w:tc>
          <w:tcPr>
            <w:tcW w:w="5469"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联合体参加磋商的，</w:t>
            </w:r>
            <w:r>
              <w:rPr>
                <w:rFonts w:hint="eastAsia" w:ascii="宋体" w:hAnsi="宋体" w:eastAsia="宋体"/>
                <w:b w:val="0"/>
                <w:sz w:val="24"/>
              </w:rPr>
              <w:t>磋商文件获取</w:t>
            </w:r>
            <w:r>
              <w:rPr>
                <w:rFonts w:ascii="宋体" w:hAnsi="宋体" w:eastAsia="宋体"/>
                <w:b w:val="0"/>
                <w:sz w:val="24"/>
              </w:rPr>
              <w:t>手续由联合体</w:t>
            </w:r>
            <w:r>
              <w:rPr>
                <w:rFonts w:hint="eastAsia" w:ascii="宋体" w:hAnsi="宋体" w:eastAsia="宋体"/>
                <w:b w:val="0"/>
                <w:sz w:val="24"/>
              </w:rPr>
              <w:t>中</w:t>
            </w:r>
            <w:r>
              <w:rPr>
                <w:rFonts w:ascii="宋体" w:hAnsi="宋体" w:eastAsia="宋体"/>
                <w:b w:val="0"/>
                <w:sz w:val="24"/>
              </w:rPr>
              <w:t>任一</w:t>
            </w:r>
            <w:r>
              <w:rPr>
                <w:rFonts w:hint="eastAsia" w:ascii="宋体" w:hAnsi="宋体" w:eastAsia="宋体"/>
                <w:b w:val="0"/>
                <w:sz w:val="24"/>
              </w:rPr>
              <w:t>成员单位</w:t>
            </w:r>
            <w:r>
              <w:rPr>
                <w:rFonts w:ascii="宋体" w:hAnsi="宋体" w:eastAsia="宋体"/>
                <w:b w:val="0"/>
                <w:sz w:val="24"/>
              </w:rPr>
              <w:t>办理均可。</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联合体参加磋商的须提供联合体协议（见</w:t>
            </w:r>
            <w:r>
              <w:rPr>
                <w:rFonts w:hint="eastAsia" w:ascii="宋体" w:hAnsi="宋体" w:eastAsia="宋体"/>
                <w:b w:val="0"/>
                <w:sz w:val="24"/>
              </w:rPr>
              <w:t>响应文件格式</w:t>
            </w:r>
            <w:r>
              <w:rPr>
                <w:rFonts w:ascii="宋体" w:hAnsi="宋体" w:eastAsia="宋体"/>
                <w:b w:val="0"/>
                <w:sz w:val="24"/>
              </w:rPr>
              <w:t>）</w:t>
            </w:r>
            <w:r>
              <w:rPr>
                <w:rFonts w:hint="eastAsia" w:ascii="宋体" w:hAnsi="宋体" w:eastAsia="宋体"/>
                <w:b w:val="0"/>
                <w:sz w:val="24"/>
              </w:rPr>
              <w:t>，相关</w:t>
            </w:r>
            <w:r>
              <w:rPr>
                <w:rFonts w:ascii="宋体" w:hAnsi="宋体" w:eastAsia="宋体"/>
                <w:b w:val="0"/>
                <w:sz w:val="24"/>
              </w:rPr>
              <w:t>证明材料</w:t>
            </w:r>
            <w:r>
              <w:rPr>
                <w:rFonts w:hint="eastAsia" w:ascii="宋体" w:hAnsi="宋体" w:eastAsia="宋体"/>
                <w:b w:val="0"/>
                <w:sz w:val="24"/>
              </w:rPr>
              <w:t>由供应商</w:t>
            </w:r>
            <w:r>
              <w:rPr>
                <w:rFonts w:ascii="宋体" w:hAnsi="宋体" w:eastAsia="宋体"/>
                <w:b w:val="0"/>
                <w:sz w:val="24"/>
              </w:rPr>
              <w:t>根据联合体协议分工情况及</w:t>
            </w:r>
            <w:r>
              <w:rPr>
                <w:rFonts w:hint="eastAsia" w:ascii="宋体" w:hAnsi="宋体" w:eastAsia="宋体"/>
                <w:b w:val="0"/>
                <w:sz w:val="24"/>
              </w:rPr>
              <w:t>磋商</w:t>
            </w:r>
            <w:r>
              <w:rPr>
                <w:rFonts w:ascii="宋体" w:hAnsi="宋体" w:eastAsia="宋体"/>
                <w:b w:val="0"/>
                <w:sz w:val="24"/>
              </w:rPr>
              <w:t>文件要求提供。</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联合体各</w:t>
            </w:r>
            <w:r>
              <w:rPr>
                <w:rFonts w:hint="eastAsia" w:ascii="宋体" w:hAnsi="宋体" w:eastAsia="宋体"/>
                <w:b w:val="0"/>
                <w:sz w:val="24"/>
              </w:rPr>
              <w:t>成员单位</w:t>
            </w:r>
            <w:r>
              <w:rPr>
                <w:rFonts w:ascii="宋体" w:hAnsi="宋体" w:eastAsia="宋体"/>
                <w:b w:val="0"/>
                <w:sz w:val="24"/>
              </w:rPr>
              <w:t>均须提供营业执照</w:t>
            </w:r>
            <w:r>
              <w:rPr>
                <w:rFonts w:hint="eastAsia" w:ascii="宋体" w:hAnsi="宋体" w:eastAsia="宋体"/>
                <w:b w:val="0"/>
                <w:sz w:val="24"/>
              </w:rPr>
              <w:t>（或事业单位法人登记证书）</w:t>
            </w:r>
            <w:r>
              <w:rPr>
                <w:rFonts w:ascii="宋体" w:hAnsi="宋体" w:eastAsia="宋体"/>
                <w:b w:val="0"/>
                <w:sz w:val="24"/>
              </w:rPr>
              <w:t>、税务登记证</w:t>
            </w:r>
            <w:r>
              <w:rPr>
                <w:rFonts w:hint="eastAsia" w:ascii="宋体" w:hAnsi="宋体" w:eastAsia="宋体"/>
                <w:b w:val="0"/>
                <w:sz w:val="24"/>
              </w:rPr>
              <w:t>和无重大违法记录声明函、无不良信用记录声明函。</w:t>
            </w:r>
            <w:r>
              <w:rPr>
                <w:rFonts w:hint="eastAsia" w:ascii="宋体" w:hAnsi="宋体" w:eastAsia="宋体"/>
                <w:bCs w:val="0"/>
                <w:sz w:val="24"/>
              </w:rPr>
              <w:t>注：</w:t>
            </w:r>
            <w:r>
              <w:rPr>
                <w:rFonts w:hint="eastAsia" w:ascii="宋体" w:hAnsi="宋体" w:eastAsia="宋体"/>
                <w:b w:val="0"/>
                <w:sz w:val="24"/>
              </w:rPr>
              <w:t>已办理“三证合一”登记的，响应文件中提供营业执照（或事业单位法人登记证书）扫描件即可。</w:t>
            </w:r>
          </w:p>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（4）关于联合体缴纳磋商保证金（如有）：</w:t>
            </w:r>
            <w:r>
              <w:rPr>
                <w:rFonts w:ascii="宋体" w:hAnsi="宋体" w:eastAsia="宋体"/>
                <w:b w:val="0"/>
                <w:sz w:val="24"/>
              </w:rPr>
              <w:t>为简化</w:t>
            </w:r>
            <w:r>
              <w:rPr>
                <w:rFonts w:hint="eastAsia" w:ascii="宋体" w:hAnsi="宋体" w:eastAsia="宋体"/>
                <w:b w:val="0"/>
                <w:sz w:val="24"/>
              </w:rPr>
              <w:t>评审</w:t>
            </w:r>
            <w:r>
              <w:rPr>
                <w:rFonts w:ascii="宋体" w:hAnsi="宋体" w:eastAsia="宋体"/>
                <w:b w:val="0"/>
                <w:sz w:val="24"/>
              </w:rPr>
              <w:t>现场</w:t>
            </w:r>
            <w:r>
              <w:rPr>
                <w:rFonts w:hint="eastAsia" w:ascii="宋体" w:hAnsi="宋体" w:eastAsia="宋体"/>
                <w:b w:val="0"/>
                <w:sz w:val="24"/>
              </w:rPr>
              <w:t>磋商</w:t>
            </w:r>
            <w:r>
              <w:rPr>
                <w:rFonts w:ascii="宋体" w:hAnsi="宋体" w:eastAsia="宋体"/>
                <w:b w:val="0"/>
                <w:sz w:val="24"/>
              </w:rPr>
              <w:t>保证金查询、后期</w:t>
            </w:r>
            <w:r>
              <w:rPr>
                <w:rFonts w:hint="eastAsia" w:ascii="宋体" w:hAnsi="宋体" w:eastAsia="宋体"/>
                <w:b w:val="0"/>
                <w:sz w:val="24"/>
              </w:rPr>
              <w:t>磋商</w:t>
            </w:r>
            <w:r>
              <w:rPr>
                <w:rFonts w:ascii="宋体" w:hAnsi="宋体" w:eastAsia="宋体"/>
                <w:b w:val="0"/>
                <w:sz w:val="24"/>
              </w:rPr>
              <w:t>保证金退还及合同备案清算手续，</w:t>
            </w:r>
            <w:r>
              <w:rPr>
                <w:rFonts w:hint="eastAsia" w:ascii="宋体" w:hAnsi="宋体" w:eastAsia="宋体"/>
                <w:b w:val="0"/>
                <w:sz w:val="24"/>
              </w:rPr>
              <w:t>磋商</w:t>
            </w:r>
            <w:r>
              <w:rPr>
                <w:rFonts w:ascii="宋体" w:hAnsi="宋体" w:eastAsia="宋体"/>
                <w:b w:val="0"/>
                <w:sz w:val="24"/>
              </w:rPr>
              <w:t>保证金建议由</w:t>
            </w:r>
            <w:r>
              <w:rPr>
                <w:rFonts w:hint="eastAsia" w:ascii="宋体" w:hAnsi="宋体" w:eastAsia="宋体"/>
                <w:b w:val="0"/>
                <w:sz w:val="24"/>
              </w:rPr>
              <w:t>联合体牵头人</w:t>
            </w:r>
            <w:r>
              <w:rPr>
                <w:rFonts w:ascii="宋体" w:hAnsi="宋体" w:eastAsia="宋体"/>
                <w:b w:val="0"/>
                <w:sz w:val="24"/>
              </w:rPr>
              <w:t>足额缴纳至本项目</w:t>
            </w:r>
            <w:r>
              <w:rPr>
                <w:rFonts w:hint="eastAsia" w:ascii="宋体" w:hAnsi="宋体" w:eastAsia="宋体"/>
                <w:b w:val="0"/>
                <w:sz w:val="24"/>
              </w:rPr>
              <w:t>磋商</w:t>
            </w:r>
            <w:r>
              <w:rPr>
                <w:rFonts w:ascii="宋体" w:hAnsi="宋体" w:eastAsia="宋体"/>
                <w:b w:val="0"/>
                <w:sz w:val="24"/>
              </w:rPr>
              <w:t>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.2</w:t>
            </w:r>
          </w:p>
        </w:tc>
        <w:tc>
          <w:tcPr>
            <w:tcW w:w="2026" w:type="dxa"/>
            <w:vAlign w:val="center"/>
          </w:tcPr>
          <w:p>
            <w:pPr>
              <w:pStyle w:val="56"/>
              <w:widowControl w:val="0"/>
              <w:spacing w:before="0" w:beforeAutospacing="0" w:after="0" w:afterAutospacing="0" w:line="360" w:lineRule="auto"/>
              <w:jc w:val="both"/>
              <w:rPr>
                <w:rFonts w:ascii="宋体" w:hAnsi="宋体" w:eastAsia="宋体" w:cs="宋体"/>
                <w:b w:val="0"/>
                <w:sz w:val="24"/>
              </w:rPr>
            </w:pPr>
            <w:r>
              <w:rPr>
                <w:rFonts w:hint="eastAsia" w:ascii="宋体" w:hAnsi="宋体" w:eastAsia="宋体" w:cs="宋体"/>
                <w:b w:val="0"/>
                <w:sz w:val="24"/>
              </w:rPr>
              <w:t>本项目提供除电子版磋商文件以外的其他资料</w:t>
            </w:r>
          </w:p>
        </w:tc>
        <w:tc>
          <w:tcPr>
            <w:tcW w:w="5469" w:type="dxa"/>
            <w:vAlign w:val="center"/>
          </w:tcPr>
          <w:p>
            <w:pPr>
              <w:spacing w:line="360" w:lineRule="auto"/>
              <w:rPr>
                <w:rFonts w:ascii="宋体" w:hAnsi="宋体" w:eastAsia="宋体" w:cs="宋体"/>
                <w:sz w:val="24"/>
                <w:u w:val="single"/>
              </w:rPr>
            </w:pPr>
            <w:r>
              <w:rPr>
                <w:rFonts w:hint="eastAsia" w:ascii="宋体" w:hAnsi="宋体" w:eastAsia="宋体" w:cs="宋体"/>
                <w:bCs/>
                <w:sz w:val="24"/>
                <w:szCs w:val="24"/>
              </w:rPr>
              <w:sym w:font="Wingdings 2" w:char="0052"/>
            </w:r>
            <w:r>
              <w:rPr>
                <w:rFonts w:hint="eastAsia" w:ascii="宋体" w:hAnsi="宋体" w:eastAsia="宋体" w:cs="宋体"/>
                <w:sz w:val="24"/>
              </w:rPr>
              <w:t>无   □图纸   □光盘   □</w:t>
            </w:r>
            <w:r>
              <w:rPr>
                <w:rFonts w:hint="eastAsia" w:ascii="宋体" w:hAnsi="宋体" w:eastAsia="宋体" w:cs="宋体"/>
                <w:sz w:val="24"/>
                <w:u w:val="single"/>
              </w:rPr>
              <w:t xml:space="preserve">   </w:t>
            </w:r>
          </w:p>
          <w:p>
            <w:pPr>
              <w:spacing w:line="360" w:lineRule="auto"/>
              <w:rPr>
                <w:rFonts w:ascii="宋体" w:hAnsi="宋体" w:eastAsia="宋体" w:cs="宋体"/>
                <w:bCs/>
                <w:sz w:val="24"/>
              </w:rPr>
            </w:pPr>
            <w:r>
              <w:rPr>
                <w:rFonts w:hint="eastAsia" w:ascii="宋体" w:hAnsi="宋体" w:eastAsia="宋体" w:cs="宋体"/>
                <w:bCs/>
                <w:sz w:val="24"/>
              </w:rPr>
              <w:t>获取方式：</w:t>
            </w:r>
          </w:p>
          <w:p>
            <w:pPr>
              <w:pStyle w:val="56"/>
              <w:widowControl w:val="0"/>
              <w:spacing w:before="0" w:beforeAutospacing="0" w:after="0" w:afterAutospacing="0" w:line="360" w:lineRule="auto"/>
              <w:jc w:val="both"/>
              <w:rPr>
                <w:rFonts w:ascii="宋体" w:hAnsi="宋体" w:eastAsia="宋体" w:cs="宋体"/>
                <w:b w:val="0"/>
                <w:i/>
                <w:sz w:val="24"/>
              </w:rPr>
            </w:pPr>
            <w:r>
              <w:rPr>
                <w:rFonts w:hint="eastAsia" w:ascii="宋体" w:hAnsi="宋体" w:eastAsia="宋体" w:cs="宋体"/>
                <w:b w:val="0"/>
                <w:sz w:val="24"/>
              </w:rPr>
              <w:t>上述资料请供应商在获取磋商文件后，自行登陆徽智采平台下载本项目附件。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cs="宋体"/>
                <w:bCs/>
                <w:kern w:val="2"/>
              </w:rPr>
            </w:pPr>
            <w:r>
              <w:rPr>
                <w:rFonts w:hint="eastAsia" w:ascii="宋体" w:hAnsi="宋体" w:eastAsia="宋体" w:cs="宋体"/>
                <w:bCs/>
                <w:kern w:val="2"/>
              </w:rPr>
              <w:t>35.</w:t>
            </w:r>
            <w:r>
              <w:rPr>
                <w:rFonts w:ascii="宋体" w:hAnsi="宋体" w:eastAsia="宋体" w:cs="宋体"/>
                <w:bCs/>
                <w:kern w:val="2"/>
              </w:rPr>
              <w:t>3</w:t>
            </w:r>
          </w:p>
        </w:tc>
        <w:tc>
          <w:tcPr>
            <w:tcW w:w="2026" w:type="dxa"/>
            <w:vAlign w:val="center"/>
          </w:tcPr>
          <w:p>
            <w:pPr>
              <w:pStyle w:val="56"/>
              <w:widowControl w:val="0"/>
              <w:spacing w:before="0" w:beforeAutospacing="0" w:after="0" w:afterAutospacing="0" w:line="360" w:lineRule="auto"/>
              <w:jc w:val="both"/>
              <w:rPr>
                <w:rFonts w:ascii="宋体" w:hAnsi="宋体" w:eastAsia="宋体" w:cs="宋体"/>
                <w:b w:val="0"/>
                <w:sz w:val="24"/>
              </w:rPr>
            </w:pPr>
            <w:r>
              <w:rPr>
                <w:rFonts w:hint="eastAsia" w:ascii="宋体" w:hAnsi="宋体" w:eastAsia="宋体" w:cs="宋体"/>
                <w:b w:val="0"/>
                <w:sz w:val="24"/>
              </w:rPr>
              <w:t>重要提示</w:t>
            </w:r>
          </w:p>
        </w:tc>
        <w:tc>
          <w:tcPr>
            <w:tcW w:w="5469" w:type="dxa"/>
            <w:vAlign w:val="center"/>
          </w:tcPr>
          <w:p>
            <w:pPr>
              <w:spacing w:line="360" w:lineRule="auto"/>
              <w:rPr>
                <w:rFonts w:ascii="宋体" w:hAnsi="宋体" w:eastAsia="宋体" w:cs="宋体"/>
                <w:bCs/>
                <w:sz w:val="24"/>
                <w:szCs w:val="24"/>
              </w:rPr>
            </w:pPr>
            <w:r>
              <w:rPr>
                <w:rFonts w:hint="eastAsia" w:ascii="宋体" w:hAnsi="宋体" w:eastAsia="宋体" w:cs="宋体"/>
                <w:bCs/>
                <w:sz w:val="24"/>
                <w:szCs w:val="24"/>
              </w:rPr>
              <w:t>（1）成交供应商应在规定期限内领取《成交通知书》，若成交供应商未在规定期限内领取《成交通知书》，采购人有权取消成交供应商成交资格，并将相关违约行为报送监管部门，实施信用惩戒；</w:t>
            </w:r>
          </w:p>
          <w:p>
            <w:pPr>
              <w:spacing w:line="360" w:lineRule="auto"/>
              <w:rPr>
                <w:rFonts w:ascii="宋体" w:hAnsi="宋体" w:eastAsia="宋体" w:cs="宋体"/>
                <w:bCs/>
                <w:sz w:val="24"/>
                <w:szCs w:val="24"/>
              </w:rPr>
            </w:pPr>
            <w:r>
              <w:rPr>
                <w:rFonts w:hint="eastAsia" w:ascii="宋体" w:hAnsi="宋体" w:eastAsia="宋体" w:cs="宋体"/>
                <w:bCs/>
                <w:sz w:val="24"/>
                <w:szCs w:val="24"/>
              </w:rPr>
              <w:t>（2）成交供应商应在规定期限内提交履约担保并与采购人签订合同，若成交供应商未能在规定期限内提交履约担保或签订合同，采购人有权取消成交供应商成交资格，并将相关违约行为报送监管部门，实施信用惩戒；</w:t>
            </w:r>
          </w:p>
          <w:p>
            <w:pPr>
              <w:spacing w:line="360" w:lineRule="auto"/>
              <w:rPr>
                <w:rFonts w:ascii="宋体" w:hAnsi="宋体" w:eastAsia="宋体" w:cs="宋体"/>
                <w:bCs/>
                <w:sz w:val="24"/>
                <w:szCs w:val="24"/>
              </w:rPr>
            </w:pPr>
            <w:r>
              <w:rPr>
                <w:rFonts w:hint="eastAsia" w:ascii="宋体" w:hAnsi="宋体" w:eastAsia="宋体" w:cs="宋体"/>
                <w:bCs/>
                <w:sz w:val="24"/>
                <w:szCs w:val="24"/>
              </w:rPr>
              <w:t>（3）合同签订后，成交供应商存在规定时间内不组织人员进场开工，不履行供货、安装或服务义务等情况，采购人有权解除合同，并追究违约责任，同时将相关违约行为报送监管部门，记不良行为记录，实施信用惩戒；</w:t>
            </w:r>
          </w:p>
          <w:p>
            <w:pPr>
              <w:spacing w:line="360" w:lineRule="auto"/>
              <w:rPr>
                <w:rFonts w:ascii="宋体" w:hAnsi="宋体" w:eastAsia="宋体" w:cs="宋体"/>
                <w:bCs/>
                <w:sz w:val="24"/>
                <w:szCs w:val="24"/>
              </w:rPr>
            </w:pPr>
            <w:r>
              <w:rPr>
                <w:rFonts w:hint="eastAsia" w:ascii="宋体" w:hAnsi="宋体" w:eastAsia="宋体" w:cs="宋体"/>
                <w:bCs/>
                <w:sz w:val="24"/>
                <w:szCs w:val="24"/>
              </w:rPr>
              <w:t>（4）成交供应商成交后被监管部门查实存在违法行为，不满足成交条件的，由采购人取消成交资格，并做好项目后续工作；</w:t>
            </w:r>
          </w:p>
          <w:p>
            <w:pPr>
              <w:spacing w:line="360" w:lineRule="auto"/>
              <w:rPr>
                <w:rFonts w:ascii="宋体" w:hAnsi="宋体" w:eastAsia="宋体" w:cs="宋体"/>
                <w:bCs/>
                <w:sz w:val="24"/>
                <w:szCs w:val="24"/>
              </w:rPr>
            </w:pPr>
            <w:r>
              <w:rPr>
                <w:rFonts w:hint="eastAsia" w:ascii="宋体" w:hAnsi="宋体" w:eastAsia="宋体" w:cs="宋体"/>
                <w:bCs/>
                <w:sz w:val="24"/>
                <w:szCs w:val="24"/>
              </w:rPr>
              <w:t>（5）成交供应商在成交项目发生投诉、信访举报案件、履约存在争议时，拒绝协助配合执法部门调查案件的，采购人可以取消其成交资格或解除合同，并追究其违约责任。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cs="宋体"/>
                <w:bCs/>
                <w:kern w:val="2"/>
              </w:rPr>
            </w:pPr>
            <w:r>
              <w:rPr>
                <w:rFonts w:hint="eastAsia" w:ascii="宋体" w:hAnsi="宋体" w:eastAsia="宋体" w:cs="宋体"/>
                <w:bCs/>
                <w:kern w:val="2"/>
              </w:rPr>
              <w:t>35.</w:t>
            </w:r>
            <w:r>
              <w:rPr>
                <w:rFonts w:ascii="宋体" w:hAnsi="宋体" w:eastAsia="宋体" w:cs="宋体"/>
                <w:bCs/>
                <w:kern w:val="2"/>
              </w:rPr>
              <w:t>4</w:t>
            </w:r>
          </w:p>
        </w:tc>
        <w:tc>
          <w:tcPr>
            <w:tcW w:w="2026" w:type="dxa"/>
            <w:vAlign w:val="center"/>
          </w:tcPr>
          <w:p>
            <w:pPr>
              <w:pStyle w:val="56"/>
              <w:widowControl w:val="0"/>
              <w:spacing w:before="0" w:beforeAutospacing="0" w:after="0" w:afterAutospacing="0" w:line="360" w:lineRule="auto"/>
              <w:jc w:val="both"/>
              <w:rPr>
                <w:rFonts w:ascii="宋体" w:hAnsi="宋体" w:eastAsia="宋体" w:cs="宋体"/>
                <w:b w:val="0"/>
                <w:sz w:val="24"/>
              </w:rPr>
            </w:pPr>
            <w:r>
              <w:rPr>
                <w:rFonts w:hint="eastAsia" w:ascii="宋体" w:hAnsi="宋体" w:eastAsia="宋体" w:cs="宋体"/>
                <w:b w:val="0"/>
                <w:sz w:val="24"/>
              </w:rPr>
              <w:t>解释权</w:t>
            </w:r>
          </w:p>
        </w:tc>
        <w:tc>
          <w:tcPr>
            <w:tcW w:w="5469" w:type="dxa"/>
            <w:vAlign w:val="center"/>
          </w:tcPr>
          <w:p>
            <w:pPr>
              <w:spacing w:line="360" w:lineRule="auto"/>
              <w:rPr>
                <w:rFonts w:ascii="宋体" w:hAnsi="宋体" w:eastAsia="宋体" w:cs="宋体"/>
                <w:bCs/>
                <w:sz w:val="24"/>
                <w:szCs w:val="24"/>
              </w:rPr>
            </w:pPr>
            <w:r>
              <w:rPr>
                <w:rFonts w:hint="eastAsia" w:ascii="宋体" w:hAnsi="宋体" w:eastAsia="宋体" w:cs="宋体"/>
                <w:bCs/>
                <w:sz w:val="24"/>
                <w:szCs w:val="24"/>
              </w:rPr>
              <w:t>（1）构成本磋商文件的各个组成文件应互为解释，互为说明；</w:t>
            </w:r>
          </w:p>
          <w:p>
            <w:pPr>
              <w:spacing w:line="360" w:lineRule="auto"/>
              <w:rPr>
                <w:rFonts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pPr>
              <w:spacing w:line="360" w:lineRule="auto"/>
              <w:rPr>
                <w:rFonts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pPr>
              <w:spacing w:line="360" w:lineRule="auto"/>
              <w:rPr>
                <w:rFonts w:ascii="宋体" w:hAnsi="宋体" w:eastAsia="宋体" w:cs="宋体"/>
                <w:bCs/>
                <w:sz w:val="24"/>
                <w:szCs w:val="24"/>
              </w:rPr>
            </w:pPr>
            <w:r>
              <w:rPr>
                <w:rFonts w:hint="eastAsia" w:ascii="宋体" w:hAnsi="宋体" w:eastAsia="宋体" w:cs="宋体"/>
                <w:bCs/>
                <w:sz w:val="24"/>
                <w:szCs w:val="24"/>
              </w:rPr>
              <w:t>（4）除磋商文件中有特别规定外，仅适用于磋商及响应文件提交阶段的规定，按磋商公告、供应商须知、评审方法和标准、响应文件格式的先后顺序解释；</w:t>
            </w:r>
          </w:p>
          <w:p>
            <w:pPr>
              <w:spacing w:line="360" w:lineRule="auto"/>
              <w:rPr>
                <w:rFonts w:ascii="宋体" w:hAnsi="宋体" w:eastAsia="宋体" w:cs="宋体"/>
                <w:bCs/>
                <w:sz w:val="24"/>
                <w:szCs w:val="24"/>
              </w:rPr>
            </w:pPr>
            <w:r>
              <w:rPr>
                <w:rFonts w:hint="eastAsia" w:ascii="宋体" w:hAnsi="宋体" w:eastAsia="宋体" w:cs="宋体"/>
                <w:bCs/>
                <w:sz w:val="24"/>
                <w:szCs w:val="24"/>
              </w:rPr>
              <w:t>（5）按本款前述规定仍不能形成结论的，由采购人负责解释。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0" w:type="dxa"/>
            <w:vAlign w:val="center"/>
          </w:tcPr>
          <w:p>
            <w:pPr>
              <w:pStyle w:val="5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.5</w:t>
            </w:r>
          </w:p>
        </w:tc>
        <w:tc>
          <w:tcPr>
            <w:tcW w:w="2026" w:type="dxa"/>
            <w:vAlign w:val="center"/>
          </w:tcPr>
          <w:p>
            <w:pPr>
              <w:pStyle w:val="5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其他补充说明</w:t>
            </w:r>
          </w:p>
        </w:tc>
        <w:tc>
          <w:tcPr>
            <w:tcW w:w="5469" w:type="dxa"/>
            <w:vAlign w:val="center"/>
          </w:tcPr>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网上招投标注意事项：</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1、开标时由供应商对投标响应文件进行解密，系统自动记录开标过程，并在解密完成后对外公布各供应商的投标报价。供应商解密时，未能在线成功解密的供应商，可在解密时限内，自行选择导入保障信封投标响应文件。若系统识别出保障信封投标响应文件和网上递交的加密投标响应文件识别码不一致，系统将拒绝导入。完成在线解密或保障信封导入成功均视为完成解密。因供应商联系不上、没有及时登录系统、等</w:t>
            </w:r>
            <w:r>
              <w:rPr>
                <w:rFonts w:ascii="宋体" w:hAnsi="宋体" w:eastAsia="宋体"/>
                <w:sz w:val="24"/>
              </w:rPr>
              <w:t>情形</w:t>
            </w:r>
            <w:r>
              <w:rPr>
                <w:rFonts w:hint="eastAsia" w:ascii="宋体" w:hAnsi="宋体" w:eastAsia="宋体"/>
                <w:sz w:val="24"/>
              </w:rPr>
              <w:t>的风险，由供应商自行承担。</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2、解密时限为30分钟，供应商未在采购文件规定的时间内完成解密的视为其放弃投标，其投标无效。供应商须自行承担网络环境、介质损坏等因素造成的风险。</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3、供应商应妥善保管数字证书，及时到证书颁发机构续期。供应商由于数字证书遗失、损坏、更换、续期等情况导致投标响应文件无法解密，由供应商自行承担责任。</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4、供应商应注意投标响应文件大小。通过图片格式、精度调整等方式合理控制文件大小。</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5、投标响应文件全部采用电子文档，除供应商须知前附表另有规定外，投标响应文件所附证书证件均为原件扫描件，并采用单位和个人数字证书，按采购文件要求在相应位置加盖电子印章。</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6、 供应商完成电子投标响应文件上传后，电子招标投标交易平台即时向供应商发出递交回执通知。递交时间以递交回执通知载明的传输完成时间为准。</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 xml:space="preserve">7、供应商修改或撤回已递交投标响应文件的通知，应按照采购文件的要求加盖电子印章。电子招标投标交易平台收到通知后，即时向供应商发出确认回执通知。 </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8、招标人在采购文件规定的投标截止时间（开标时间）,通过电子招标投标交易平台公开开标，所有供应商的法定代表人（单位负责人）或其委托代理人应当准时在线参加，也可至现场观摩实时开标。</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9、关于响应文件的签章：</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（1）供应商应使用企业电子签章（电子章）进行响应文件的签署，响应文件效力以企业电子签章（电子章）为准；</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（2）若供应商为方便企业多人投标，可另行办理个人证书，由已注册的管理员授权其他人员投标；</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（3）响应文件中涉及到个人签字的部分，可采取先打印签字再扫描添加至响应文件中的方式，也可以采用徽智采平台个人电子签章的方式；</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（4）供应商若有使用徽智采平台个人电子签章的需求（不强制），需另行办理个人证书，并缴纳相关费用。</w:t>
            </w:r>
          </w:p>
          <w:p>
            <w:pPr>
              <w:pStyle w:val="56"/>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rPr>
              <w:t>10、本项目通过徽智采平台进行二次报价，二次报价时间为20分钟，如未在规定的时间内报价，则其前次报价视为最终报价。</w:t>
            </w:r>
          </w:p>
        </w:tc>
      </w:tr>
    </w:tbl>
    <w:p>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3"/>
        <w:rPr>
          <w:rFonts w:ascii="宋体" w:hAnsi="宋体" w:eastAsia="宋体" w:cs="宋体"/>
          <w:b/>
          <w:sz w:val="24"/>
        </w:rPr>
      </w:pPr>
      <w:r>
        <w:rPr>
          <w:rFonts w:hint="eastAsia" w:ascii="宋体" w:hAnsi="宋体" w:eastAsia="宋体" w:cs="宋体"/>
          <w:b/>
          <w:sz w:val="24"/>
        </w:rPr>
        <w:t>1</w:t>
      </w:r>
      <w:r>
        <w:rPr>
          <w:rFonts w:ascii="宋体" w:hAnsi="宋体" w:eastAsia="宋体" w:cs="宋体"/>
          <w:b/>
          <w:sz w:val="24"/>
        </w:rPr>
        <w:t>.</w:t>
      </w:r>
      <w:r>
        <w:rPr>
          <w:rFonts w:hint="eastAsia" w:ascii="宋体" w:hAnsi="宋体" w:eastAsia="宋体" w:cs="宋体"/>
          <w:b/>
          <w:sz w:val="24"/>
        </w:rPr>
        <w:t>适用范围</w:t>
      </w:r>
    </w:p>
    <w:p>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本磋商文件仅适用于本次磋商所述的服务项目采购。</w:t>
      </w:r>
    </w:p>
    <w:p>
      <w:pPr>
        <w:spacing w:line="360" w:lineRule="auto"/>
        <w:ind w:firstLine="437"/>
        <w:outlineLvl w:val="3"/>
        <w:rPr>
          <w:rFonts w:ascii="宋体" w:hAnsi="宋体" w:eastAsia="宋体" w:cs="宋体"/>
          <w:b/>
          <w:sz w:val="24"/>
        </w:rPr>
      </w:pPr>
      <w:r>
        <w:rPr>
          <w:rFonts w:hint="eastAsia" w:ascii="宋体" w:hAnsi="宋体" w:eastAsia="宋体" w:cs="宋体"/>
          <w:b/>
          <w:sz w:val="24"/>
        </w:rPr>
        <w:t>2</w:t>
      </w:r>
      <w:r>
        <w:rPr>
          <w:rFonts w:ascii="宋体" w:hAnsi="宋体" w:eastAsia="宋体" w:cs="宋体"/>
          <w:b/>
          <w:sz w:val="24"/>
        </w:rPr>
        <w:t>.</w:t>
      </w:r>
      <w:r>
        <w:rPr>
          <w:rFonts w:hint="eastAsia" w:ascii="宋体" w:hAnsi="宋体" w:eastAsia="宋体" w:cs="宋体"/>
          <w:b/>
          <w:sz w:val="24"/>
        </w:rPr>
        <w:t>定义</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服务：系指除货物和工程以外的其他政府采购对象，包括咨询、调研、评估、规划、设计、监理、审计、保险、租赁、印刷、维修、物业管理等。</w:t>
      </w:r>
    </w:p>
    <w:p>
      <w:pPr>
        <w:spacing w:line="360" w:lineRule="auto"/>
        <w:ind w:firstLine="435"/>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pPr>
        <w:spacing w:line="360" w:lineRule="auto"/>
        <w:ind w:firstLine="435"/>
        <w:rPr>
          <w:rFonts w:ascii="宋体" w:hAnsi="宋体" w:eastAsia="宋体"/>
          <w:sz w:val="24"/>
        </w:rPr>
      </w:pPr>
      <w:r>
        <w:rPr>
          <w:rFonts w:ascii="宋体" w:hAnsi="宋体" w:eastAsia="宋体"/>
          <w:sz w:val="24"/>
        </w:rPr>
        <w:t>2.3业绩：除非本</w:t>
      </w:r>
      <w:r>
        <w:rPr>
          <w:rFonts w:hint="eastAsia" w:ascii="宋体" w:hAnsi="宋体" w:eastAsia="宋体"/>
          <w:sz w:val="24"/>
        </w:rPr>
        <w:t>磋商</w:t>
      </w:r>
      <w:r>
        <w:rPr>
          <w:rFonts w:ascii="宋体" w:hAnsi="宋体" w:eastAsia="宋体"/>
          <w:sz w:val="24"/>
        </w:rPr>
        <w:t>文件</w:t>
      </w:r>
      <w:r>
        <w:rPr>
          <w:rFonts w:hint="eastAsia" w:ascii="宋体" w:hAnsi="宋体" w:eastAsia="宋体"/>
          <w:sz w:val="24"/>
        </w:rPr>
        <w:t>中</w:t>
      </w:r>
      <w:r>
        <w:rPr>
          <w:rFonts w:ascii="宋体" w:hAnsi="宋体" w:eastAsia="宋体"/>
          <w:sz w:val="24"/>
        </w:rPr>
        <w:t>另有规定，业绩系指符合本</w:t>
      </w:r>
      <w:r>
        <w:rPr>
          <w:rFonts w:hint="eastAsia" w:ascii="宋体" w:hAnsi="宋体" w:eastAsia="宋体"/>
          <w:sz w:val="24"/>
        </w:rPr>
        <w:t>磋商</w:t>
      </w:r>
      <w:r>
        <w:rPr>
          <w:rFonts w:ascii="宋体" w:hAnsi="宋体" w:eastAsia="宋体"/>
          <w:sz w:val="24"/>
        </w:rPr>
        <w:t>文件规定的与最终用户签订的合同。</w:t>
      </w:r>
      <w:r>
        <w:rPr>
          <w:rFonts w:hint="eastAsia" w:ascii="宋体" w:hAnsi="宋体" w:eastAsia="宋体"/>
          <w:sz w:val="24"/>
        </w:rPr>
        <w:t>供应商</w:t>
      </w:r>
      <w:r>
        <w:rPr>
          <w:rFonts w:ascii="宋体" w:hAnsi="宋体" w:eastAsia="宋体"/>
          <w:sz w:val="24"/>
        </w:rPr>
        <w:t>与其关联公司（如母公司、控股公司、分公司、子公司、同一法定代表人的公司等）之间签订的合同，均不予认可。</w:t>
      </w:r>
    </w:p>
    <w:p>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磋商</w:t>
      </w:r>
      <w:r>
        <w:rPr>
          <w:rFonts w:ascii="宋体" w:hAnsi="宋体" w:eastAsia="宋体"/>
          <w:sz w:val="24"/>
        </w:rPr>
        <w:t>文件</w:t>
      </w:r>
      <w:r>
        <w:rPr>
          <w:rFonts w:hint="eastAsia" w:ascii="宋体" w:hAnsi="宋体" w:eastAsia="宋体"/>
          <w:sz w:val="24"/>
        </w:rPr>
        <w:t>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pPr>
        <w:spacing w:line="360" w:lineRule="auto"/>
        <w:ind w:firstLine="437"/>
        <w:outlineLvl w:val="3"/>
        <w:rPr>
          <w:rFonts w:ascii="宋体" w:hAnsi="宋体" w:eastAsia="宋体" w:cs="宋体"/>
          <w:b/>
          <w:sz w:val="24"/>
        </w:rPr>
      </w:pPr>
      <w:r>
        <w:rPr>
          <w:rFonts w:hint="eastAsia" w:ascii="宋体" w:hAnsi="宋体" w:eastAsia="宋体" w:cs="宋体"/>
          <w:b/>
          <w:sz w:val="24"/>
        </w:rPr>
        <w:t>3</w:t>
      </w:r>
      <w:r>
        <w:rPr>
          <w:rFonts w:ascii="宋体" w:hAnsi="宋体" w:eastAsia="宋体" w:cs="宋体"/>
          <w:b/>
          <w:sz w:val="24"/>
        </w:rPr>
        <w:t>.</w:t>
      </w:r>
      <w:r>
        <w:rPr>
          <w:rFonts w:hint="eastAsia" w:ascii="宋体" w:hAnsi="宋体" w:eastAsia="宋体" w:cs="宋体"/>
          <w:b/>
          <w:sz w:val="24"/>
        </w:rPr>
        <w:t>采购人、采购代理机构及供应商</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.1采购人：是指依法开展政府采购活动的国家机关、事业单位、团体组织。</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.2采购代理机构：是指集中采购机构或从事采购代理业务的社会中介机构。本项目的采购代理机构见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pPr>
        <w:spacing w:line="360" w:lineRule="auto"/>
        <w:ind w:firstLine="435"/>
        <w:rPr>
          <w:rFonts w:ascii="宋体" w:hAnsi="宋体" w:eastAsia="宋体"/>
          <w:sz w:val="24"/>
        </w:rPr>
      </w:pPr>
      <w:r>
        <w:rPr>
          <w:rFonts w:ascii="宋体" w:hAnsi="宋体" w:eastAsia="宋体"/>
          <w:sz w:val="24"/>
        </w:rPr>
        <w:t>3.3政府采购监督管理部门：</w:t>
      </w:r>
      <w:r>
        <w:rPr>
          <w:rFonts w:hint="eastAsia" w:ascii="宋体" w:hAnsi="宋体" w:eastAsia="宋体"/>
          <w:sz w:val="24"/>
        </w:rPr>
        <w:t>各级人民政府指定的有关部门依法履行与政府采购活动有关的监督管理职责。</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：是指向采购人提供工程、</w:t>
      </w:r>
      <w:r>
        <w:rPr>
          <w:rFonts w:hint="eastAsia" w:ascii="宋体" w:hAnsi="宋体" w:eastAsia="宋体"/>
          <w:sz w:val="24"/>
        </w:rPr>
        <w:t>货物</w:t>
      </w:r>
      <w:r>
        <w:rPr>
          <w:rFonts w:ascii="宋体" w:hAnsi="宋体" w:eastAsia="宋体"/>
          <w:sz w:val="24"/>
        </w:rPr>
        <w:t>或者服务的法人、非法人组织或者自然人。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.4.1在中华人民共和国境内注册，能够独立承担民事责任，有生产或供应能力的本国供应商。</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.4.2具备《中华人民共和国政府采购法》第二十二条关于供应商条件的规定，遵守本项目采购人本级和上级财政部门政府采购的有关规定。</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.4.3以采购代理机构认可的方式获得了本项目的</w:t>
      </w:r>
      <w:r>
        <w:rPr>
          <w:rFonts w:hint="eastAsia" w:ascii="宋体" w:hAnsi="宋体" w:eastAsia="宋体"/>
          <w:sz w:val="24"/>
        </w:rPr>
        <w:t>磋商</w:t>
      </w:r>
      <w:r>
        <w:rPr>
          <w:rFonts w:ascii="宋体" w:hAnsi="宋体" w:eastAsia="宋体"/>
          <w:sz w:val="24"/>
        </w:rPr>
        <w:t>文件。</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.4.4若</w:t>
      </w:r>
      <w:r>
        <w:rPr>
          <w:rFonts w:hint="eastAsia" w:ascii="宋体" w:hAnsi="宋体" w:eastAsia="宋体"/>
          <w:sz w:val="24"/>
          <w:u w:val="single"/>
        </w:rPr>
        <w:t>供应商须知前附表</w:t>
      </w:r>
      <w:r>
        <w:rPr>
          <w:rFonts w:ascii="宋体" w:hAnsi="宋体" w:eastAsia="宋体"/>
          <w:sz w:val="24"/>
        </w:rPr>
        <w:t>中写明专门面向中小企业采购的，如</w:t>
      </w:r>
      <w:r>
        <w:rPr>
          <w:rFonts w:hint="eastAsia" w:ascii="宋体" w:hAnsi="宋体" w:eastAsia="宋体"/>
          <w:sz w:val="24"/>
        </w:rPr>
        <w:t>供应商</w:t>
      </w:r>
      <w:r>
        <w:rPr>
          <w:rFonts w:ascii="宋体" w:hAnsi="宋体" w:eastAsia="宋体"/>
          <w:sz w:val="24"/>
        </w:rPr>
        <w:t>为非中小企业，其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.5</w:t>
      </w:r>
      <w:r>
        <w:rPr>
          <w:rFonts w:hint="eastAsia" w:ascii="宋体" w:hAnsi="宋体" w:eastAsia="宋体"/>
          <w:sz w:val="24"/>
        </w:rPr>
        <w:t>若</w:t>
      </w:r>
      <w:r>
        <w:rPr>
          <w:rFonts w:hint="eastAsia" w:ascii="宋体" w:hAnsi="宋体" w:eastAsia="宋体"/>
          <w:sz w:val="24"/>
          <w:u w:val="single"/>
        </w:rPr>
        <w:t>供应商须知前附表</w:t>
      </w:r>
      <w:r>
        <w:rPr>
          <w:rFonts w:ascii="宋体" w:hAnsi="宋体" w:eastAsia="宋体"/>
          <w:sz w:val="24"/>
        </w:rPr>
        <w:t>中允许联合体参加磋商，对联合体规定如下：</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联合体</w:t>
      </w:r>
      <w:r>
        <w:rPr>
          <w:rFonts w:ascii="宋体" w:hAnsi="宋体" w:eastAsia="宋体"/>
          <w:sz w:val="24"/>
        </w:rPr>
        <w:t>协议，明确约定联合体各方承担的工作和相应的责任，并将</w:t>
      </w:r>
      <w:r>
        <w:rPr>
          <w:rFonts w:hint="eastAsia" w:ascii="宋体" w:hAnsi="宋体" w:eastAsia="宋体"/>
          <w:sz w:val="24"/>
        </w:rPr>
        <w:t>联合体</w:t>
      </w:r>
      <w:r>
        <w:rPr>
          <w:rFonts w:ascii="宋体" w:hAnsi="宋体" w:eastAsia="宋体"/>
          <w:sz w:val="24"/>
        </w:rPr>
        <w:t>协议作为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联合体</w:t>
      </w:r>
      <w:r>
        <w:rPr>
          <w:rFonts w:ascii="宋体" w:hAnsi="宋体" w:eastAsia="宋体"/>
          <w:sz w:val="24"/>
        </w:rPr>
        <w:t>协议</w:t>
      </w:r>
      <w:r>
        <w:rPr>
          <w:rFonts w:hint="eastAsia" w:ascii="宋体" w:hAnsi="宋体" w:eastAsia="宋体"/>
          <w:sz w:val="24"/>
        </w:rPr>
        <w:t>中</w:t>
      </w:r>
      <w:r>
        <w:rPr>
          <w:rFonts w:ascii="宋体" w:hAnsi="宋体" w:eastAsia="宋体"/>
          <w:sz w:val="24"/>
        </w:rPr>
        <w:t>应写明小型、微型企业的协议合同金额占到</w:t>
      </w:r>
      <w:r>
        <w:rPr>
          <w:rFonts w:hint="eastAsia" w:ascii="宋体" w:hAnsi="宋体" w:eastAsia="宋体"/>
          <w:sz w:val="24"/>
        </w:rPr>
        <w:t>联合体</w:t>
      </w:r>
      <w:r>
        <w:rPr>
          <w:rFonts w:ascii="宋体" w:hAnsi="宋体" w:eastAsia="宋体"/>
          <w:sz w:val="24"/>
        </w:rPr>
        <w:t>协议</w:t>
      </w:r>
      <w:r>
        <w:rPr>
          <w:rFonts w:hint="eastAsia" w:ascii="宋体" w:hAnsi="宋体" w:eastAsia="宋体"/>
          <w:sz w:val="24"/>
        </w:rPr>
        <w:t>合同</w:t>
      </w:r>
      <w:r>
        <w:rPr>
          <w:rFonts w:ascii="宋体" w:hAnsi="宋体" w:eastAsia="宋体"/>
          <w:sz w:val="24"/>
        </w:rPr>
        <w:t>总金额的比例。</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供应商资格</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6</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不得参加同一合同项下的政府采购活动。否则</w:t>
      </w:r>
      <w:r>
        <w:rPr>
          <w:rFonts w:ascii="宋体" w:hAnsi="宋体" w:eastAsia="宋体"/>
          <w:sz w:val="24"/>
        </w:rPr>
        <w:t>其相关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为本项目提供过整体设计、规范编制或者项目管理、监理、检测等服务的供应商，不得再参加本项目上述服务以外的其他采购活动。否则其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pPr>
        <w:spacing w:line="360" w:lineRule="auto"/>
        <w:ind w:firstLine="437"/>
        <w:outlineLvl w:val="3"/>
        <w:rPr>
          <w:rFonts w:ascii="宋体" w:hAnsi="宋体" w:eastAsia="宋体" w:cs="宋体"/>
          <w:b/>
          <w:sz w:val="24"/>
        </w:rPr>
      </w:pPr>
      <w:r>
        <w:rPr>
          <w:rFonts w:hint="eastAsia" w:ascii="宋体" w:hAnsi="宋体" w:eastAsia="宋体" w:cs="宋体"/>
          <w:b/>
          <w:sz w:val="24"/>
        </w:rPr>
        <w:t>4.资金来源</w:t>
      </w:r>
    </w:p>
    <w:p>
      <w:pPr>
        <w:spacing w:line="360" w:lineRule="auto"/>
        <w:ind w:firstLine="435"/>
        <w:rPr>
          <w:rFonts w:ascii="宋体" w:hAnsi="宋体" w:eastAsia="宋体" w:cs="宋体"/>
          <w:sz w:val="24"/>
        </w:rPr>
      </w:pPr>
      <w:r>
        <w:rPr>
          <w:rFonts w:hint="eastAsia" w:ascii="宋体" w:hAnsi="宋体" w:eastAsia="宋体" w:cs="宋体"/>
          <w:sz w:val="24"/>
        </w:rPr>
        <w:t>4.1本项目的采购人已获得足以支付本次磋商后所签订的合同项下的资金。</w:t>
      </w:r>
    </w:p>
    <w:p>
      <w:pPr>
        <w:spacing w:line="360" w:lineRule="auto"/>
        <w:ind w:firstLine="435"/>
        <w:rPr>
          <w:rFonts w:ascii="宋体" w:hAnsi="宋体" w:eastAsia="宋体" w:cs="宋体"/>
          <w:sz w:val="24"/>
        </w:rPr>
      </w:pPr>
      <w:r>
        <w:rPr>
          <w:rFonts w:hint="eastAsia" w:ascii="宋体" w:hAnsi="宋体" w:eastAsia="宋体" w:cs="宋体"/>
          <w:sz w:val="24"/>
        </w:rPr>
        <w:t>4.2项目预算金额或分项（或分包）预算金额见磋商公告（磋商邀请）。</w:t>
      </w:r>
    </w:p>
    <w:p>
      <w:pPr>
        <w:spacing w:line="360" w:lineRule="auto"/>
        <w:ind w:firstLine="437"/>
        <w:outlineLvl w:val="3"/>
        <w:rPr>
          <w:rFonts w:ascii="宋体" w:hAnsi="宋体" w:eastAsia="宋体" w:cs="宋体"/>
          <w:b/>
          <w:sz w:val="24"/>
        </w:rPr>
      </w:pPr>
      <w:r>
        <w:rPr>
          <w:rFonts w:hint="eastAsia" w:ascii="宋体" w:hAnsi="宋体" w:eastAsia="宋体" w:cs="宋体"/>
          <w:b/>
          <w:sz w:val="24"/>
        </w:rPr>
        <w:t>5</w:t>
      </w:r>
      <w:r>
        <w:rPr>
          <w:rFonts w:ascii="宋体" w:hAnsi="宋体" w:eastAsia="宋体" w:cs="宋体"/>
          <w:b/>
          <w:sz w:val="24"/>
        </w:rPr>
        <w:t>.</w:t>
      </w:r>
      <w:r>
        <w:rPr>
          <w:rFonts w:hint="eastAsia" w:ascii="宋体" w:hAnsi="宋体" w:eastAsia="宋体" w:cs="宋体"/>
          <w:b/>
          <w:sz w:val="24"/>
        </w:rPr>
        <w:t>磋商费用</w:t>
      </w:r>
    </w:p>
    <w:p>
      <w:pPr>
        <w:spacing w:line="360" w:lineRule="auto"/>
        <w:ind w:firstLine="437"/>
        <w:rPr>
          <w:rFonts w:ascii="宋体" w:hAnsi="宋体" w:eastAsia="宋体"/>
          <w:sz w:val="24"/>
        </w:rPr>
      </w:pPr>
      <w:r>
        <w:rPr>
          <w:rFonts w:hint="eastAsia" w:ascii="宋体" w:hAnsi="宋体" w:eastAsia="宋体"/>
          <w:sz w:val="24"/>
        </w:rPr>
        <w:t>不论磋商的结果如何，供应商应承担其所有与准备和参加磋商有关的费用。</w:t>
      </w:r>
    </w:p>
    <w:p>
      <w:pPr>
        <w:spacing w:line="360" w:lineRule="auto"/>
        <w:ind w:firstLine="437"/>
        <w:outlineLvl w:val="3"/>
        <w:rPr>
          <w:rFonts w:ascii="宋体" w:hAnsi="宋体" w:eastAsia="宋体" w:cs="宋体"/>
          <w:b/>
          <w:sz w:val="24"/>
        </w:rPr>
      </w:pPr>
      <w:r>
        <w:rPr>
          <w:rFonts w:hint="eastAsia" w:ascii="宋体" w:hAnsi="宋体" w:eastAsia="宋体" w:cs="宋体"/>
          <w:b/>
          <w:sz w:val="24"/>
        </w:rPr>
        <w:t>6</w:t>
      </w:r>
      <w:r>
        <w:rPr>
          <w:rFonts w:ascii="宋体" w:hAnsi="宋体" w:eastAsia="宋体" w:cs="宋体"/>
          <w:b/>
          <w:sz w:val="24"/>
        </w:rPr>
        <w:t>.</w:t>
      </w:r>
      <w:r>
        <w:rPr>
          <w:rFonts w:hint="eastAsia" w:ascii="宋体" w:hAnsi="宋体" w:eastAsia="宋体" w:cs="宋体"/>
          <w:b/>
          <w:sz w:val="24"/>
        </w:rPr>
        <w:t>适用法律</w:t>
      </w:r>
    </w:p>
    <w:p>
      <w:pPr>
        <w:spacing w:line="360" w:lineRule="auto"/>
        <w:ind w:firstLine="435"/>
        <w:rPr>
          <w:rFonts w:ascii="宋体" w:hAnsi="宋体" w:eastAsia="宋体" w:cs="宋体"/>
          <w:sz w:val="24"/>
        </w:rPr>
      </w:pPr>
      <w:r>
        <w:rPr>
          <w:rFonts w:hint="eastAsia" w:ascii="宋体" w:hAnsi="宋体" w:eastAsia="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w:t>
      </w:r>
      <w:r>
        <w:rPr>
          <w:rFonts w:hint="eastAsia" w:ascii="宋体" w:hAnsi="宋体" w:eastAsia="宋体" w:cs="宋体"/>
          <w:sz w:val="24"/>
        </w:rPr>
        <w:t>法规的保护。</w:t>
      </w:r>
    </w:p>
    <w:p>
      <w:pPr>
        <w:spacing w:line="360" w:lineRule="auto"/>
        <w:ind w:firstLine="437"/>
        <w:outlineLvl w:val="3"/>
        <w:rPr>
          <w:rFonts w:ascii="宋体" w:hAnsi="宋体" w:eastAsia="宋体" w:cs="宋体"/>
          <w:b/>
          <w:sz w:val="24"/>
        </w:rPr>
      </w:pPr>
      <w:r>
        <w:rPr>
          <w:rFonts w:hint="eastAsia" w:ascii="宋体" w:hAnsi="宋体" w:eastAsia="宋体" w:cs="宋体"/>
          <w:b/>
          <w:sz w:val="24"/>
        </w:rPr>
        <w:t>7.磋商文件构成</w:t>
      </w:r>
    </w:p>
    <w:p>
      <w:pPr>
        <w:spacing w:line="360" w:lineRule="auto"/>
        <w:ind w:firstLine="435"/>
        <w:rPr>
          <w:rFonts w:ascii="宋体" w:hAnsi="宋体" w:eastAsia="宋体" w:cs="宋体"/>
          <w:sz w:val="24"/>
        </w:rPr>
      </w:pPr>
      <w:r>
        <w:rPr>
          <w:rFonts w:hint="eastAsia" w:ascii="宋体" w:hAnsi="宋体" w:eastAsia="宋体" w:cs="宋体"/>
          <w:sz w:val="24"/>
        </w:rPr>
        <w:t>7.1磋商文件包括下列内容：</w:t>
      </w:r>
    </w:p>
    <w:p>
      <w:pPr>
        <w:spacing w:line="360" w:lineRule="auto"/>
        <w:ind w:firstLine="840" w:firstLineChars="350"/>
        <w:rPr>
          <w:rFonts w:ascii="宋体" w:hAnsi="宋体" w:eastAsia="宋体" w:cs="宋体"/>
          <w:sz w:val="24"/>
        </w:rPr>
      </w:pPr>
      <w:r>
        <w:rPr>
          <w:rFonts w:hint="eastAsia" w:ascii="宋体" w:hAnsi="宋体" w:eastAsia="宋体" w:cs="宋体"/>
          <w:sz w:val="24"/>
        </w:rPr>
        <w:t>第一章  磋商公告（磋商邀请）</w:t>
      </w:r>
    </w:p>
    <w:p>
      <w:pPr>
        <w:spacing w:line="360" w:lineRule="auto"/>
        <w:ind w:firstLine="840" w:firstLineChars="350"/>
        <w:rPr>
          <w:rFonts w:ascii="宋体" w:hAnsi="宋体" w:eastAsia="宋体" w:cs="宋体"/>
          <w:sz w:val="24"/>
        </w:rPr>
      </w:pPr>
      <w:r>
        <w:rPr>
          <w:rFonts w:hint="eastAsia" w:ascii="宋体" w:hAnsi="宋体" w:eastAsia="宋体" w:cs="宋体"/>
          <w:sz w:val="24"/>
        </w:rPr>
        <w:t>第二章  供应商须知</w:t>
      </w:r>
    </w:p>
    <w:p>
      <w:pPr>
        <w:spacing w:line="360" w:lineRule="auto"/>
        <w:ind w:firstLine="840" w:firstLineChars="350"/>
        <w:rPr>
          <w:rFonts w:ascii="宋体" w:hAnsi="宋体" w:eastAsia="宋体" w:cs="宋体"/>
          <w:sz w:val="24"/>
        </w:rPr>
      </w:pPr>
      <w:r>
        <w:rPr>
          <w:rFonts w:hint="eastAsia" w:ascii="宋体" w:hAnsi="宋体" w:eastAsia="宋体" w:cs="宋体"/>
          <w:sz w:val="24"/>
        </w:rPr>
        <w:t>第三章  采购需求</w:t>
      </w:r>
    </w:p>
    <w:p>
      <w:pPr>
        <w:spacing w:line="360" w:lineRule="auto"/>
        <w:ind w:firstLine="840" w:firstLineChars="350"/>
        <w:rPr>
          <w:rFonts w:ascii="宋体" w:hAnsi="宋体" w:eastAsia="宋体" w:cs="宋体"/>
          <w:sz w:val="24"/>
        </w:rPr>
      </w:pPr>
      <w:r>
        <w:rPr>
          <w:rFonts w:hint="eastAsia" w:ascii="宋体" w:hAnsi="宋体" w:eastAsia="宋体" w:cs="宋体"/>
          <w:sz w:val="24"/>
        </w:rPr>
        <w:t>第四章  评审方法和标准</w:t>
      </w:r>
    </w:p>
    <w:p>
      <w:pPr>
        <w:spacing w:line="360" w:lineRule="auto"/>
        <w:ind w:firstLine="840" w:firstLineChars="350"/>
        <w:rPr>
          <w:rFonts w:ascii="宋体" w:hAnsi="宋体" w:eastAsia="宋体" w:cs="宋体"/>
          <w:sz w:val="24"/>
        </w:rPr>
      </w:pPr>
      <w:r>
        <w:rPr>
          <w:rFonts w:hint="eastAsia" w:ascii="宋体" w:hAnsi="宋体" w:eastAsia="宋体" w:cs="宋体"/>
          <w:sz w:val="24"/>
        </w:rPr>
        <w:t>第五章  政府采购合同</w:t>
      </w:r>
    </w:p>
    <w:p>
      <w:pPr>
        <w:spacing w:line="360" w:lineRule="auto"/>
        <w:ind w:firstLine="840" w:firstLineChars="350"/>
        <w:rPr>
          <w:rFonts w:ascii="宋体" w:hAnsi="宋体" w:eastAsia="宋体" w:cs="宋体"/>
          <w:sz w:val="24"/>
        </w:rPr>
      </w:pPr>
      <w:r>
        <w:rPr>
          <w:rFonts w:hint="eastAsia" w:ascii="宋体" w:hAnsi="宋体" w:eastAsia="宋体" w:cs="宋体"/>
          <w:sz w:val="24"/>
        </w:rPr>
        <w:t>第六章  响应文件格式</w:t>
      </w:r>
    </w:p>
    <w:p>
      <w:pPr>
        <w:spacing w:line="360" w:lineRule="auto"/>
        <w:ind w:firstLine="840" w:firstLineChars="350"/>
        <w:rPr>
          <w:rFonts w:ascii="宋体" w:hAnsi="宋体" w:eastAsia="宋体" w:cs="宋体"/>
          <w:sz w:val="24"/>
        </w:rPr>
      </w:pPr>
      <w:r>
        <w:rPr>
          <w:rFonts w:hint="eastAsia" w:ascii="宋体" w:hAnsi="宋体" w:eastAsia="宋体" w:cs="宋体"/>
          <w:sz w:val="24"/>
        </w:rPr>
        <w:t>第七章  政府采购供应商质疑函范本</w:t>
      </w:r>
    </w:p>
    <w:p>
      <w:pPr>
        <w:spacing w:line="360" w:lineRule="auto"/>
        <w:ind w:firstLine="435"/>
        <w:rPr>
          <w:rFonts w:ascii="宋体" w:hAnsi="宋体" w:eastAsia="宋体" w:cs="宋体"/>
          <w:sz w:val="24"/>
        </w:rPr>
      </w:pPr>
      <w:r>
        <w:rPr>
          <w:rFonts w:hint="eastAsia" w:ascii="宋体" w:hAnsi="宋体" w:eastAsia="宋体" w:cs="宋体"/>
          <w:sz w:val="24"/>
        </w:rPr>
        <w:t>7.2磋商文件中有不一致的，有澄清的部分以最终的澄清更正内容为准。</w:t>
      </w:r>
    </w:p>
    <w:p>
      <w:pPr>
        <w:spacing w:line="360" w:lineRule="auto"/>
        <w:ind w:firstLine="435"/>
        <w:rPr>
          <w:rFonts w:ascii="宋体" w:hAnsi="宋体" w:eastAsia="宋体" w:cs="宋体"/>
          <w:sz w:val="24"/>
        </w:rPr>
      </w:pPr>
      <w:r>
        <w:rPr>
          <w:rFonts w:hint="eastAsia" w:ascii="宋体" w:hAnsi="宋体" w:eastAsia="宋体" w:cs="宋体"/>
          <w:sz w:val="24"/>
        </w:rPr>
        <w:t>7.3现场考察及相关事项见</w:t>
      </w:r>
      <w:r>
        <w:rPr>
          <w:rFonts w:hint="eastAsia" w:ascii="宋体" w:hAnsi="宋体" w:eastAsia="宋体" w:cs="宋体"/>
          <w:sz w:val="24"/>
          <w:u w:val="single"/>
        </w:rPr>
        <w:t>供应商须知前附表</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7.4供应商应认真阅读磋商文件所有的事项、格式、条款和技术规范等。</w:t>
      </w:r>
    </w:p>
    <w:p>
      <w:pPr>
        <w:spacing w:line="360" w:lineRule="auto"/>
        <w:ind w:firstLine="437"/>
        <w:outlineLvl w:val="3"/>
        <w:rPr>
          <w:rFonts w:ascii="宋体" w:hAnsi="宋体" w:eastAsia="宋体" w:cs="宋体"/>
          <w:b/>
          <w:sz w:val="24"/>
        </w:rPr>
      </w:pPr>
      <w:r>
        <w:rPr>
          <w:rFonts w:hint="eastAsia" w:ascii="宋体" w:hAnsi="宋体" w:eastAsia="宋体" w:cs="宋体"/>
          <w:b/>
          <w:sz w:val="24"/>
        </w:rPr>
        <w:t>8.磋商文件的澄清与修改</w:t>
      </w:r>
    </w:p>
    <w:p>
      <w:pPr>
        <w:spacing w:line="360" w:lineRule="auto"/>
        <w:ind w:firstLine="435"/>
        <w:rPr>
          <w:rFonts w:ascii="宋体" w:hAnsi="宋体" w:eastAsia="宋体" w:cs="宋体"/>
          <w:sz w:val="24"/>
        </w:rPr>
      </w:pPr>
      <w:r>
        <w:rPr>
          <w:rFonts w:hint="eastAsia" w:ascii="宋体" w:hAnsi="宋体" w:eastAsia="宋体" w:cs="宋体"/>
          <w:sz w:val="24"/>
        </w:rPr>
        <w:t>8.1供应商如对磋商文件内容有疑问，必须在</w:t>
      </w:r>
      <w:r>
        <w:rPr>
          <w:rFonts w:hint="eastAsia" w:ascii="宋体" w:hAnsi="宋体" w:eastAsia="宋体" w:cs="宋体"/>
          <w:sz w:val="24"/>
          <w:u w:val="single"/>
        </w:rPr>
        <w:t>供应商须知前附表</w:t>
      </w:r>
      <w:r>
        <w:rPr>
          <w:rFonts w:hint="eastAsia" w:ascii="宋体" w:hAnsi="宋体" w:eastAsia="宋体" w:cs="宋体"/>
          <w:sz w:val="24"/>
        </w:rPr>
        <w:t>规定的网上询问截止时间前以网上提问形式（徽智采平台）提交给采购代理机构。</w:t>
      </w:r>
    </w:p>
    <w:p>
      <w:pPr>
        <w:spacing w:line="360" w:lineRule="auto"/>
        <w:ind w:firstLine="435"/>
        <w:rPr>
          <w:rFonts w:ascii="宋体" w:hAnsi="宋体" w:eastAsia="宋体" w:cs="宋体"/>
          <w:sz w:val="24"/>
        </w:rPr>
      </w:pPr>
      <w:r>
        <w:rPr>
          <w:rFonts w:hint="eastAsia" w:ascii="宋体" w:hAnsi="宋体" w:eastAsia="宋体" w:cs="宋体"/>
          <w:sz w:val="24"/>
        </w:rPr>
        <w:t>8.2采购人可主动或在解答供应商提出的问题时对磋商文件进行澄清或者修改。采购代理机构将在</w:t>
      </w:r>
      <w:r>
        <w:rPr>
          <w:rFonts w:hint="eastAsia" w:ascii="宋体" w:hAnsi="宋体" w:eastAsia="宋体" w:cs="宋体"/>
          <w:sz w:val="24"/>
          <w:szCs w:val="18"/>
        </w:rPr>
        <w:t>徽智采平台</w:t>
      </w:r>
      <w:r>
        <w:rPr>
          <w:rFonts w:hint="eastAsia" w:ascii="宋体" w:hAnsi="宋体" w:eastAsia="宋体" w:cs="宋体"/>
          <w:sz w:val="24"/>
        </w:rPr>
        <w:t>以发布公告的方式澄清或者修改磋商文件，澄清或修改的内容作为磋商文件的组成部分，对供应商起约束作用。供应商应主动上网查询。采购代理机构不承担供应商未及时关注相关信息引发的相关责任。</w:t>
      </w:r>
    </w:p>
    <w:p>
      <w:pPr>
        <w:spacing w:line="360" w:lineRule="auto"/>
        <w:ind w:firstLine="435"/>
        <w:rPr>
          <w:rFonts w:ascii="宋体" w:hAnsi="宋体" w:eastAsia="宋体" w:cs="宋体"/>
          <w:sz w:val="24"/>
        </w:rPr>
      </w:pPr>
      <w:r>
        <w:rPr>
          <w:rFonts w:hint="eastAsia" w:ascii="宋体" w:hAnsi="宋体" w:eastAsia="宋体" w:cs="宋体"/>
          <w:sz w:val="24"/>
        </w:rPr>
        <w:t>8.3任何人或任何组织向供应商提供的任何书面或口头资料，未经采购代理机构在网上发布或书面通知，均作无效处理，不得作为磋商文件的组成部分。采购代理机构对供应商由此而做出的推论、理解和结论概不负责。</w:t>
      </w:r>
    </w:p>
    <w:p>
      <w:pPr>
        <w:spacing w:line="360" w:lineRule="auto"/>
        <w:ind w:firstLine="435"/>
        <w:rPr>
          <w:rFonts w:ascii="宋体" w:hAnsi="宋体" w:eastAsia="宋体" w:cs="宋体"/>
          <w:iCs/>
          <w:sz w:val="24"/>
        </w:rPr>
      </w:pPr>
      <w:r>
        <w:rPr>
          <w:rFonts w:hint="eastAsia" w:ascii="宋体" w:hAnsi="宋体" w:eastAsia="宋体" w:cs="宋体"/>
          <w:sz w:val="24"/>
        </w:rPr>
        <w:t>8.4对于没有提出询问又参与了本项目磋商的供应商将被视为完全认同本磋商文件（含澄清或修改的内容）</w:t>
      </w:r>
      <w:r>
        <w:rPr>
          <w:rFonts w:hint="eastAsia" w:ascii="宋体" w:hAnsi="宋体" w:eastAsia="宋体" w:cs="宋体"/>
          <w:i/>
          <w:sz w:val="24"/>
        </w:rPr>
        <w:t>。</w:t>
      </w:r>
    </w:p>
    <w:p>
      <w:pPr>
        <w:spacing w:line="360" w:lineRule="auto"/>
        <w:ind w:firstLine="437"/>
        <w:outlineLvl w:val="3"/>
        <w:rPr>
          <w:rFonts w:ascii="宋体" w:hAnsi="宋体" w:eastAsia="宋体" w:cs="宋体"/>
          <w:b/>
          <w:sz w:val="24"/>
        </w:rPr>
      </w:pPr>
      <w:r>
        <w:rPr>
          <w:rFonts w:hint="eastAsia" w:ascii="宋体" w:hAnsi="宋体" w:eastAsia="宋体" w:cs="宋体"/>
          <w:b/>
          <w:sz w:val="24"/>
        </w:rPr>
        <w:t>9.磋商范围及响应文件成交准和计量单位的使用</w:t>
      </w:r>
    </w:p>
    <w:p>
      <w:pPr>
        <w:spacing w:line="360" w:lineRule="auto"/>
        <w:ind w:firstLine="435"/>
        <w:rPr>
          <w:rFonts w:ascii="宋体" w:hAnsi="宋体" w:eastAsia="宋体" w:cs="宋体"/>
          <w:sz w:val="24"/>
        </w:rPr>
      </w:pPr>
      <w:r>
        <w:rPr>
          <w:rFonts w:hint="eastAsia" w:ascii="宋体" w:hAnsi="宋体" w:eastAsia="宋体" w:cs="宋体"/>
          <w:sz w:val="24"/>
        </w:rPr>
        <w:t>9.1项目有分包的，供应商可参与其中某一个或多个分包的磋商，成交包数详见</w:t>
      </w:r>
      <w:r>
        <w:rPr>
          <w:rFonts w:hint="eastAsia" w:ascii="宋体" w:hAnsi="宋体" w:eastAsia="宋体" w:cs="宋体"/>
          <w:sz w:val="24"/>
          <w:u w:val="single"/>
        </w:rPr>
        <w:t>供应商须知前附表</w:t>
      </w:r>
      <w:r>
        <w:rPr>
          <w:rFonts w:hint="eastAsia" w:ascii="宋体" w:hAnsi="宋体" w:eastAsia="宋体" w:cs="宋体"/>
          <w:sz w:val="24"/>
        </w:rPr>
        <w:t>中规定。</w:t>
      </w:r>
    </w:p>
    <w:p>
      <w:pPr>
        <w:spacing w:line="360" w:lineRule="auto"/>
        <w:ind w:firstLine="435"/>
        <w:rPr>
          <w:rFonts w:ascii="宋体" w:hAnsi="宋体" w:eastAsia="宋体" w:cs="宋体"/>
          <w:sz w:val="24"/>
        </w:rPr>
      </w:pPr>
      <w:r>
        <w:rPr>
          <w:rFonts w:hint="eastAsia" w:ascii="宋体" w:hAnsi="宋体" w:eastAsia="宋体" w:cs="宋体"/>
          <w:sz w:val="24"/>
        </w:rPr>
        <w:t>9.2无论磋商文件中是否要求，供应商所投服务及伴随的货物和工程均应符合国家强制性标准。</w:t>
      </w:r>
    </w:p>
    <w:p>
      <w:pPr>
        <w:spacing w:line="360" w:lineRule="auto"/>
        <w:ind w:firstLine="435"/>
        <w:rPr>
          <w:rFonts w:ascii="宋体" w:hAnsi="宋体" w:eastAsia="宋体" w:cs="宋体"/>
          <w:sz w:val="24"/>
        </w:rPr>
      </w:pPr>
      <w:r>
        <w:rPr>
          <w:rFonts w:hint="eastAsia" w:ascii="宋体" w:hAnsi="宋体" w:eastAsia="宋体" w:cs="宋体"/>
          <w:sz w:val="24"/>
        </w:rPr>
        <w:t>9.3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pPr>
        <w:spacing w:line="360" w:lineRule="auto"/>
        <w:ind w:firstLine="435"/>
        <w:rPr>
          <w:rFonts w:ascii="宋体" w:hAnsi="宋体" w:eastAsia="宋体" w:cs="宋体"/>
          <w:sz w:val="24"/>
        </w:rPr>
      </w:pPr>
      <w:r>
        <w:rPr>
          <w:rFonts w:hint="eastAsia" w:ascii="宋体" w:hAnsi="宋体" w:eastAsia="宋体" w:cs="宋体"/>
          <w:sz w:val="24"/>
        </w:rPr>
        <w:t>9.4除磋商文件中有特殊要求外，响应文件中所使用的计量单位，应采用中华人民共和国法定计量单位。</w:t>
      </w:r>
    </w:p>
    <w:p>
      <w:pPr>
        <w:spacing w:line="360" w:lineRule="auto"/>
        <w:ind w:firstLine="437"/>
        <w:outlineLvl w:val="3"/>
        <w:rPr>
          <w:rFonts w:ascii="宋体" w:hAnsi="宋体" w:eastAsia="宋体" w:cs="宋体"/>
          <w:b/>
          <w:sz w:val="24"/>
        </w:rPr>
      </w:pPr>
      <w:r>
        <w:rPr>
          <w:rFonts w:hint="eastAsia" w:ascii="宋体" w:hAnsi="宋体" w:eastAsia="宋体" w:cs="宋体"/>
          <w:b/>
          <w:sz w:val="24"/>
        </w:rPr>
        <w:t>10.响应文件构成</w:t>
      </w:r>
    </w:p>
    <w:p>
      <w:pPr>
        <w:spacing w:line="360" w:lineRule="auto"/>
        <w:ind w:firstLine="437"/>
        <w:rPr>
          <w:rFonts w:ascii="宋体" w:hAnsi="宋体" w:eastAsia="宋体" w:cs="宋体"/>
          <w:sz w:val="24"/>
        </w:rPr>
      </w:pPr>
      <w:r>
        <w:rPr>
          <w:rFonts w:hint="eastAsia" w:ascii="宋体" w:hAnsi="宋体" w:eastAsia="宋体" w:cs="宋体"/>
          <w:sz w:val="24"/>
        </w:rPr>
        <w:t>10.1供应商应完整地按磋商文件提供的响应文件格式及要求编写响应文件，具体内容详见第六章响应文件格式的相关内容。</w:t>
      </w:r>
    </w:p>
    <w:p>
      <w:pPr>
        <w:spacing w:line="360" w:lineRule="auto"/>
        <w:ind w:firstLine="437"/>
        <w:rPr>
          <w:rFonts w:ascii="宋体" w:hAnsi="宋体" w:eastAsia="宋体" w:cs="宋体"/>
          <w:sz w:val="24"/>
        </w:rPr>
      </w:pPr>
      <w:r>
        <w:rPr>
          <w:rFonts w:hint="eastAsia" w:ascii="宋体" w:hAnsi="宋体" w:eastAsia="宋体" w:cs="宋体"/>
          <w:sz w:val="24"/>
        </w:rPr>
        <w:t>10.2上述文件应按照磋商文件规定的格式填写、签署和盖章。</w:t>
      </w:r>
    </w:p>
    <w:p>
      <w:pPr>
        <w:spacing w:line="360" w:lineRule="auto"/>
        <w:ind w:firstLine="437"/>
        <w:outlineLvl w:val="3"/>
        <w:rPr>
          <w:rFonts w:ascii="宋体" w:hAnsi="宋体" w:eastAsia="宋体" w:cs="宋体"/>
          <w:b/>
          <w:sz w:val="24"/>
        </w:rPr>
      </w:pPr>
      <w:r>
        <w:rPr>
          <w:rFonts w:hint="eastAsia" w:ascii="宋体" w:hAnsi="宋体" w:eastAsia="宋体" w:cs="宋体"/>
          <w:b/>
          <w:sz w:val="24"/>
        </w:rPr>
        <w:t>11.证明标的的合格性和符合磋商文件规定的响应文件</w:t>
      </w:r>
    </w:p>
    <w:p>
      <w:pPr>
        <w:spacing w:line="360" w:lineRule="auto"/>
        <w:ind w:firstLine="435"/>
        <w:rPr>
          <w:rFonts w:ascii="宋体" w:hAnsi="宋体" w:eastAsia="宋体" w:cs="宋体"/>
          <w:sz w:val="24"/>
        </w:rPr>
      </w:pPr>
      <w:r>
        <w:rPr>
          <w:rFonts w:hint="eastAsia" w:ascii="宋体" w:hAnsi="宋体" w:eastAsia="宋体" w:cs="宋体"/>
          <w:sz w:val="24"/>
        </w:rPr>
        <w:t>11.1供应商应提交磋商文件要求的证明文件，证明其响应内容符合磋商文件规定。该证明文件是响应文件的一部分。</w:t>
      </w:r>
    </w:p>
    <w:p>
      <w:pPr>
        <w:spacing w:line="360" w:lineRule="auto"/>
        <w:ind w:firstLine="435"/>
        <w:rPr>
          <w:rFonts w:ascii="宋体" w:hAnsi="宋体" w:eastAsia="宋体" w:cs="宋体"/>
          <w:sz w:val="24"/>
        </w:rPr>
      </w:pPr>
      <w:r>
        <w:rPr>
          <w:rFonts w:hint="eastAsia" w:ascii="宋体" w:hAnsi="宋体" w:eastAsia="宋体" w:cs="宋体"/>
          <w:sz w:val="24"/>
        </w:rPr>
        <w:t>11.2上款所述的证明文件，可以是文字资料、图纸和数据</w:t>
      </w:r>
      <w:bookmarkStart w:id="3" w:name="_Hlk11703583"/>
      <w:r>
        <w:rPr>
          <w:rFonts w:hint="eastAsia" w:ascii="宋体" w:hAnsi="宋体" w:eastAsia="宋体" w:cs="宋体"/>
          <w:sz w:val="24"/>
        </w:rPr>
        <w:t>。</w:t>
      </w:r>
    </w:p>
    <w:bookmarkEnd w:id="3"/>
    <w:p>
      <w:pPr>
        <w:spacing w:line="360" w:lineRule="auto"/>
        <w:ind w:firstLine="435"/>
        <w:rPr>
          <w:rFonts w:ascii="宋体" w:hAnsi="宋体" w:eastAsia="宋体" w:cs="宋体"/>
          <w:sz w:val="24"/>
        </w:rPr>
      </w:pPr>
      <w:r>
        <w:rPr>
          <w:rFonts w:hint="eastAsia" w:ascii="宋体" w:hAnsi="宋体" w:eastAsia="宋体" w:cs="宋体"/>
          <w:sz w:val="24"/>
        </w:rPr>
        <w:t>11.3本条所指证明文件不包括对磋商文件相关部分的文字、图标的复制。</w:t>
      </w:r>
    </w:p>
    <w:p>
      <w:pPr>
        <w:spacing w:line="360" w:lineRule="auto"/>
        <w:ind w:firstLine="435"/>
        <w:rPr>
          <w:rFonts w:ascii="宋体" w:hAnsi="宋体" w:eastAsia="宋体" w:cs="宋体"/>
          <w:sz w:val="24"/>
        </w:rPr>
      </w:pPr>
      <w:r>
        <w:rPr>
          <w:rFonts w:hint="eastAsia" w:ascii="宋体" w:hAnsi="宋体" w:eastAsia="宋体" w:cs="宋体"/>
          <w:sz w:val="24"/>
        </w:rPr>
        <w:t>11.4为保证公平公正，除非另有规定或说明，供应商对同一项目磋商时，不得同时提供备选磋商方案。</w:t>
      </w:r>
    </w:p>
    <w:p>
      <w:pPr>
        <w:spacing w:line="360" w:lineRule="auto"/>
        <w:ind w:firstLine="437"/>
        <w:outlineLvl w:val="3"/>
        <w:rPr>
          <w:rFonts w:ascii="宋体" w:hAnsi="宋体" w:eastAsia="宋体" w:cs="宋体"/>
          <w:b/>
          <w:sz w:val="24"/>
        </w:rPr>
      </w:pPr>
      <w:r>
        <w:rPr>
          <w:rFonts w:hint="eastAsia" w:ascii="宋体" w:hAnsi="宋体" w:eastAsia="宋体" w:cs="宋体"/>
          <w:b/>
          <w:sz w:val="24"/>
        </w:rPr>
        <w:t>12.报价</w:t>
      </w:r>
    </w:p>
    <w:p>
      <w:pPr>
        <w:spacing w:line="360" w:lineRule="auto"/>
        <w:ind w:firstLine="435"/>
        <w:rPr>
          <w:rFonts w:ascii="宋体" w:hAnsi="宋体" w:eastAsia="宋体" w:cs="宋体"/>
          <w:sz w:val="24"/>
        </w:rPr>
      </w:pPr>
      <w:r>
        <w:rPr>
          <w:rFonts w:hint="eastAsia" w:ascii="宋体" w:hAnsi="宋体" w:eastAsia="宋体" w:cs="宋体"/>
          <w:sz w:val="24"/>
        </w:rPr>
        <w:t>12.1供应商的报价应当包括满足本次磋商全部采购需求所应提供的服务，以及伴随的货物和工程。所有内容均应以人民币报价，供应商的磋商报价应遵守《中华人民共和国价格法》。</w:t>
      </w:r>
    </w:p>
    <w:p>
      <w:pPr>
        <w:spacing w:line="360" w:lineRule="auto"/>
        <w:ind w:firstLine="435"/>
        <w:rPr>
          <w:rFonts w:ascii="宋体" w:hAnsi="宋体" w:eastAsia="宋体" w:cs="宋体"/>
          <w:sz w:val="24"/>
        </w:rPr>
      </w:pPr>
      <w:r>
        <w:rPr>
          <w:rFonts w:hint="eastAsia" w:ascii="宋体" w:hAnsi="宋体" w:eastAsia="宋体" w:cs="宋体"/>
          <w:sz w:val="24"/>
        </w:rPr>
        <w:t>12.2供应商应在分项报价表上标明分项工程的价格（如适用）和总价，未标明的视同包含在磋商报价中。</w:t>
      </w:r>
    </w:p>
    <w:p>
      <w:pPr>
        <w:spacing w:line="360" w:lineRule="auto"/>
        <w:ind w:firstLine="435"/>
        <w:rPr>
          <w:rFonts w:ascii="宋体" w:hAnsi="宋体" w:eastAsia="宋体" w:cs="宋体"/>
          <w:sz w:val="24"/>
        </w:rPr>
      </w:pPr>
      <w:r>
        <w:rPr>
          <w:rFonts w:hint="eastAsia" w:ascii="宋体" w:hAnsi="宋体" w:eastAsia="宋体" w:cs="宋体"/>
          <w:sz w:val="24"/>
        </w:rPr>
        <w:t>12.3除非磋商文件另有规定或经采购人同意支付的，最后报价均不得高于磋商文件（公告）列明的项目预算，否则其响应文件将被认定为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12.4报价在合同履行过程中是固定不变的，不得以任何理由予以变更。任何包含价格调整要求的磋商，其响应文件将被认定为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12.5采购人不接受具有附加条件的报价。</w:t>
      </w:r>
    </w:p>
    <w:p>
      <w:pPr>
        <w:spacing w:line="360" w:lineRule="auto"/>
        <w:ind w:firstLine="437"/>
        <w:outlineLvl w:val="3"/>
        <w:rPr>
          <w:rFonts w:ascii="宋体" w:hAnsi="宋体" w:eastAsia="宋体" w:cs="宋体"/>
          <w:b/>
          <w:sz w:val="24"/>
        </w:rPr>
      </w:pPr>
      <w:r>
        <w:rPr>
          <w:rFonts w:hint="eastAsia" w:ascii="宋体" w:hAnsi="宋体" w:eastAsia="宋体" w:cs="宋体"/>
          <w:b/>
          <w:sz w:val="24"/>
        </w:rPr>
        <w:t>13.磋商保证金</w:t>
      </w:r>
    </w:p>
    <w:p>
      <w:pPr>
        <w:spacing w:line="360" w:lineRule="auto"/>
        <w:ind w:firstLine="435"/>
        <w:rPr>
          <w:rFonts w:ascii="宋体" w:hAnsi="宋体" w:eastAsia="宋体" w:cs="宋体"/>
          <w:sz w:val="24"/>
        </w:rPr>
      </w:pPr>
      <w:r>
        <w:rPr>
          <w:rFonts w:hint="eastAsia" w:ascii="宋体" w:hAnsi="宋体" w:eastAsia="宋体" w:cs="宋体"/>
          <w:sz w:val="24"/>
        </w:rPr>
        <w:t>13.1供应商应提交</w:t>
      </w:r>
      <w:r>
        <w:rPr>
          <w:rFonts w:hint="eastAsia" w:ascii="宋体" w:hAnsi="宋体" w:eastAsia="宋体" w:cs="宋体"/>
          <w:sz w:val="24"/>
          <w:u w:val="single"/>
        </w:rPr>
        <w:t>供应商须知前附表</w:t>
      </w:r>
      <w:r>
        <w:rPr>
          <w:rFonts w:hint="eastAsia" w:ascii="宋体" w:hAnsi="宋体" w:eastAsia="宋体" w:cs="宋体"/>
          <w:sz w:val="24"/>
        </w:rPr>
        <w:t>中规定的磋商保证金，并作为其响应文件的一部分。供应商未按规定提交磋商保证金的，其响应文件将被认定为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13.2磋商保证金缴纳人名称与供应商名称应当一致。除非磋商文件另有规定，分公司或子公司代缴磋商保证金，视同名称不一致。磋商保证金缴纳人名称与供应商名称不一致的，其响应文件将被认定为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13.3联合体参加磋商的，可以由联合体中的一方或者共同提交磋商保证金。以一方名义提交磋商保证金的，对联合体各方均具有约束力。</w:t>
      </w:r>
    </w:p>
    <w:p>
      <w:pPr>
        <w:spacing w:line="360" w:lineRule="auto"/>
        <w:ind w:firstLine="435"/>
        <w:rPr>
          <w:rFonts w:ascii="宋体" w:hAnsi="宋体" w:eastAsia="宋体" w:cs="宋体"/>
          <w:sz w:val="24"/>
        </w:rPr>
      </w:pPr>
      <w:r>
        <w:rPr>
          <w:rFonts w:hint="eastAsia" w:ascii="宋体" w:hAnsi="宋体" w:eastAsia="宋体" w:cs="宋体"/>
          <w:sz w:val="24"/>
        </w:rPr>
        <w:t>13.4采购代理机构将在成交通知书发出后五个工作日内退还未成交供应商的磋商保证金，在采购合同签订后五个工作日内退还成交供应商的磋商保证金；</w:t>
      </w:r>
    </w:p>
    <w:p>
      <w:pPr>
        <w:spacing w:line="360" w:lineRule="auto"/>
        <w:ind w:firstLine="435"/>
        <w:rPr>
          <w:rFonts w:ascii="宋体" w:hAnsi="宋体" w:eastAsia="宋体" w:cs="宋体"/>
          <w:sz w:val="24"/>
        </w:rPr>
      </w:pPr>
      <w:r>
        <w:rPr>
          <w:rFonts w:hint="eastAsia" w:ascii="宋体" w:hAnsi="宋体" w:eastAsia="宋体" w:cs="宋体"/>
          <w:sz w:val="24"/>
        </w:rPr>
        <w:t>13.5因供应商自身原因导致无法及时退还的，采购人或采购代理机构将不承担相应责任。</w:t>
      </w:r>
    </w:p>
    <w:p>
      <w:pPr>
        <w:spacing w:line="360" w:lineRule="auto"/>
        <w:ind w:firstLine="435"/>
        <w:rPr>
          <w:rFonts w:ascii="宋体" w:hAnsi="宋体" w:eastAsia="宋体" w:cs="宋体"/>
          <w:sz w:val="24"/>
        </w:rPr>
      </w:pPr>
      <w:r>
        <w:rPr>
          <w:rFonts w:hint="eastAsia" w:ascii="宋体" w:hAnsi="宋体" w:eastAsia="宋体" w:cs="宋体"/>
          <w:sz w:val="24"/>
        </w:rPr>
        <w:t>13.6有下列情形之一的，磋商保证金不予退还：</w:t>
      </w:r>
    </w:p>
    <w:p>
      <w:pPr>
        <w:spacing w:line="360" w:lineRule="auto"/>
        <w:ind w:firstLine="435"/>
        <w:rPr>
          <w:rFonts w:ascii="宋体" w:hAnsi="宋体" w:eastAsia="宋体" w:cs="宋体"/>
          <w:sz w:val="24"/>
        </w:rPr>
      </w:pPr>
      <w:r>
        <w:rPr>
          <w:rFonts w:hint="eastAsia" w:ascii="宋体" w:hAnsi="宋体" w:eastAsia="宋体" w:cs="宋体"/>
          <w:sz w:val="24"/>
        </w:rPr>
        <w:t>（1）供应商在提交响应文件截止时间后撤回响应文件的；</w:t>
      </w:r>
    </w:p>
    <w:p>
      <w:pPr>
        <w:spacing w:line="360" w:lineRule="auto"/>
        <w:ind w:firstLine="435"/>
        <w:rPr>
          <w:rFonts w:ascii="宋体" w:hAnsi="宋体" w:eastAsia="宋体" w:cs="宋体"/>
          <w:sz w:val="24"/>
        </w:rPr>
      </w:pPr>
      <w:r>
        <w:rPr>
          <w:rFonts w:hint="eastAsia" w:ascii="宋体" w:hAnsi="宋体" w:eastAsia="宋体" w:cs="宋体"/>
          <w:sz w:val="24"/>
        </w:rPr>
        <w:t>（2）供应商在响应文件中提供虚假材料的；</w:t>
      </w:r>
    </w:p>
    <w:p>
      <w:pPr>
        <w:spacing w:line="360" w:lineRule="auto"/>
        <w:ind w:firstLine="435"/>
        <w:rPr>
          <w:rFonts w:ascii="宋体" w:hAnsi="宋体" w:eastAsia="宋体" w:cs="宋体"/>
          <w:sz w:val="24"/>
        </w:rPr>
      </w:pPr>
      <w:r>
        <w:rPr>
          <w:rFonts w:hint="eastAsia" w:ascii="宋体" w:hAnsi="宋体" w:eastAsia="宋体" w:cs="宋体"/>
          <w:sz w:val="24"/>
        </w:rPr>
        <w:t>（3）除因不可抗力或磋商文件认可的情形以外，成交供应商放弃成交资格或不与采购人签订合同的；</w:t>
      </w:r>
    </w:p>
    <w:p>
      <w:pPr>
        <w:spacing w:line="360" w:lineRule="auto"/>
        <w:ind w:firstLine="435"/>
        <w:rPr>
          <w:rFonts w:ascii="宋体" w:hAnsi="宋体" w:eastAsia="宋体" w:cs="宋体"/>
          <w:sz w:val="24"/>
        </w:rPr>
      </w:pPr>
      <w:r>
        <w:rPr>
          <w:rFonts w:hint="eastAsia" w:ascii="宋体" w:hAnsi="宋体" w:eastAsia="宋体" w:cs="宋体"/>
          <w:sz w:val="24"/>
        </w:rPr>
        <w:t>（4）供应商与采购人、其他供应商或者采购代理机构恶意串通的；</w:t>
      </w:r>
    </w:p>
    <w:p>
      <w:pPr>
        <w:spacing w:line="360" w:lineRule="auto"/>
        <w:ind w:firstLine="435"/>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u w:val="single"/>
        </w:rPr>
        <w:t>供应商须知前附表</w:t>
      </w:r>
      <w:r>
        <w:rPr>
          <w:rFonts w:hint="eastAsia" w:ascii="宋体" w:hAnsi="宋体" w:eastAsia="宋体" w:cs="宋体"/>
          <w:sz w:val="24"/>
        </w:rPr>
        <w:t>中规定的其他不予退还磋商保证金的情形。</w:t>
      </w:r>
    </w:p>
    <w:p>
      <w:pPr>
        <w:spacing w:line="360" w:lineRule="auto"/>
        <w:ind w:firstLine="437"/>
        <w:outlineLvl w:val="3"/>
        <w:rPr>
          <w:rFonts w:ascii="宋体" w:hAnsi="宋体" w:eastAsia="宋体" w:cs="宋体"/>
          <w:b/>
          <w:sz w:val="24"/>
        </w:rPr>
      </w:pPr>
      <w:r>
        <w:rPr>
          <w:rFonts w:hint="eastAsia" w:ascii="宋体" w:hAnsi="宋体" w:eastAsia="宋体" w:cs="宋体"/>
          <w:b/>
          <w:sz w:val="24"/>
        </w:rPr>
        <w:t>14.磋商有效期</w:t>
      </w:r>
    </w:p>
    <w:p>
      <w:pPr>
        <w:spacing w:line="360" w:lineRule="auto"/>
        <w:ind w:firstLine="435"/>
        <w:rPr>
          <w:rFonts w:ascii="宋体" w:hAnsi="宋体" w:eastAsia="宋体" w:cs="宋体"/>
          <w:sz w:val="24"/>
        </w:rPr>
      </w:pPr>
      <w:r>
        <w:rPr>
          <w:rFonts w:hint="eastAsia" w:ascii="宋体" w:hAnsi="宋体" w:eastAsia="宋体" w:cs="宋体"/>
          <w:sz w:val="24"/>
        </w:rPr>
        <w:t>14.1磋商有效期为从响应文件提交截止之日算起的日历天数，磋商有效期详见</w:t>
      </w:r>
      <w:r>
        <w:rPr>
          <w:rFonts w:hint="eastAsia" w:ascii="宋体" w:hAnsi="宋体" w:eastAsia="宋体" w:cs="宋体"/>
          <w:sz w:val="24"/>
          <w:u w:val="single"/>
        </w:rPr>
        <w:t>供应商须知前附表</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14.2在磋商有效期内，供应商的磋商保持有效，供应商不得要求撤销或修改其响应文件。磋商有效期不满足要求的响应，其响应文件将被认定为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spacing w:line="360" w:lineRule="auto"/>
        <w:ind w:firstLine="437"/>
        <w:outlineLvl w:val="3"/>
        <w:rPr>
          <w:rFonts w:ascii="宋体" w:hAnsi="宋体" w:eastAsia="宋体" w:cs="宋体"/>
          <w:b/>
          <w:sz w:val="24"/>
        </w:rPr>
      </w:pPr>
      <w:r>
        <w:rPr>
          <w:rFonts w:hint="eastAsia" w:ascii="宋体" w:hAnsi="宋体" w:eastAsia="宋体" w:cs="宋体"/>
          <w:b/>
          <w:sz w:val="24"/>
        </w:rPr>
        <w:t>15.响应文件的制作</w:t>
      </w:r>
    </w:p>
    <w:p>
      <w:pPr>
        <w:spacing w:line="360" w:lineRule="auto"/>
        <w:ind w:firstLine="435"/>
        <w:rPr>
          <w:rFonts w:ascii="宋体" w:hAnsi="宋体" w:eastAsia="宋体" w:cs="宋体"/>
          <w:sz w:val="24"/>
        </w:rPr>
      </w:pPr>
      <w:r>
        <w:rPr>
          <w:rFonts w:hint="eastAsia" w:ascii="宋体" w:hAnsi="宋体" w:eastAsia="宋体" w:cs="宋体"/>
          <w:sz w:val="24"/>
        </w:rPr>
        <w:t>15.1本项目要求提供加密电子响应文件，响应文件的制作应满足以下规定：</w:t>
      </w:r>
    </w:p>
    <w:p>
      <w:pPr>
        <w:spacing w:line="360" w:lineRule="auto"/>
        <w:ind w:firstLine="435"/>
        <w:rPr>
          <w:rFonts w:ascii="宋体" w:hAnsi="宋体" w:eastAsia="宋体" w:cs="宋体"/>
          <w:sz w:val="24"/>
        </w:rPr>
      </w:pPr>
      <w:r>
        <w:rPr>
          <w:rFonts w:hint="eastAsia" w:ascii="宋体" w:hAnsi="宋体" w:eastAsia="宋体" w:cs="宋体"/>
          <w:sz w:val="24"/>
        </w:rPr>
        <w:t>（1）响应文件由供应商使用徽智采平台提供的“响应文件制作工具”制作生成。“响应文件制作工具”可以通过徽智采平台中下载。供应商应当在互联网络通畅状态下启用最新版响应文件制作工具制作响应文件。</w:t>
      </w:r>
    </w:p>
    <w:p>
      <w:pPr>
        <w:spacing w:line="360" w:lineRule="auto"/>
        <w:ind w:firstLine="435"/>
        <w:rPr>
          <w:rFonts w:ascii="宋体" w:hAnsi="宋体" w:eastAsia="宋体" w:cs="宋体"/>
          <w:sz w:val="24"/>
        </w:rPr>
      </w:pPr>
      <w:r>
        <w:rPr>
          <w:rFonts w:hint="eastAsia" w:ascii="宋体" w:hAnsi="宋体" w:eastAsia="宋体" w:cs="宋体"/>
          <w:sz w:val="24"/>
        </w:rPr>
        <w:t>（2）在第六章“响应文件格式”中要求加盖供应商电子签章处，供应商均应加盖供应商电子签章或公章。联合体参加磋商的，除联合体协议及磋商文件规定须联合体各成员单位各自盖章的证明材料外，响应文件由联合体牵头人按上述规定加盖联合体牵头人单位电子签章或公章。</w:t>
      </w:r>
    </w:p>
    <w:p>
      <w:pPr>
        <w:spacing w:line="360" w:lineRule="auto"/>
        <w:ind w:firstLine="435"/>
        <w:rPr>
          <w:rFonts w:ascii="宋体" w:hAnsi="宋体" w:eastAsia="宋体" w:cs="宋体"/>
          <w:sz w:val="24"/>
        </w:rPr>
      </w:pPr>
      <w:r>
        <w:rPr>
          <w:rFonts w:hint="eastAsia" w:ascii="宋体" w:hAnsi="宋体" w:eastAsia="宋体" w:cs="宋体"/>
          <w:sz w:val="24"/>
        </w:rPr>
        <w:t>（3）响应文件制作完成后，供应商应对响应文件进行文件加密，形成加密的响应文件。</w:t>
      </w:r>
    </w:p>
    <w:p>
      <w:pPr>
        <w:spacing w:line="360" w:lineRule="auto"/>
        <w:ind w:firstLine="435"/>
        <w:rPr>
          <w:rFonts w:ascii="宋体" w:hAnsi="宋体" w:eastAsia="宋体" w:cs="宋体"/>
          <w:sz w:val="24"/>
        </w:rPr>
      </w:pPr>
      <w:r>
        <w:rPr>
          <w:rFonts w:hint="eastAsia" w:ascii="宋体" w:hAnsi="宋体" w:eastAsia="宋体" w:cs="宋体"/>
          <w:sz w:val="24"/>
        </w:rPr>
        <w:t>（4）响应文件制作的具体方法详见“响应文件制作工具”中的帮助文档。</w:t>
      </w:r>
    </w:p>
    <w:p>
      <w:pPr>
        <w:spacing w:line="360" w:lineRule="auto"/>
        <w:ind w:firstLine="435"/>
        <w:rPr>
          <w:rFonts w:ascii="宋体" w:hAnsi="宋体" w:eastAsia="宋体" w:cs="宋体"/>
          <w:sz w:val="24"/>
        </w:rPr>
      </w:pPr>
      <w:r>
        <w:rPr>
          <w:rFonts w:hint="eastAsia" w:ascii="宋体" w:hAnsi="宋体" w:eastAsia="宋体" w:cs="宋体"/>
          <w:sz w:val="24"/>
        </w:rPr>
        <w:t>15.2因供应商自身原因而导致响应文件无法导入徽智采平台电子开标、评标系统的，该响应文件视为无效响应文件，供应商自行承担由此导致的全部责任。（该响应文件是指解密后的响应文件）。</w:t>
      </w:r>
    </w:p>
    <w:p>
      <w:pPr>
        <w:spacing w:line="360" w:lineRule="auto"/>
        <w:ind w:firstLine="435"/>
        <w:rPr>
          <w:rFonts w:ascii="宋体" w:hAnsi="宋体" w:eastAsia="宋体" w:cs="宋体"/>
          <w:sz w:val="24"/>
        </w:rPr>
      </w:pPr>
      <w:r>
        <w:rPr>
          <w:rFonts w:hint="eastAsia" w:ascii="宋体" w:hAnsi="宋体" w:eastAsia="宋体" w:cs="宋体"/>
          <w:sz w:val="24"/>
        </w:rPr>
        <w:t>15.3磋商现场提交的其他材料要求详见</w:t>
      </w:r>
      <w:r>
        <w:rPr>
          <w:rFonts w:hint="eastAsia" w:ascii="宋体" w:hAnsi="宋体" w:eastAsia="宋体" w:cs="宋体"/>
          <w:sz w:val="24"/>
          <w:u w:val="single"/>
        </w:rPr>
        <w:t>供应商须知前附表</w:t>
      </w:r>
      <w:r>
        <w:rPr>
          <w:rFonts w:hint="eastAsia" w:ascii="宋体" w:hAnsi="宋体" w:eastAsia="宋体" w:cs="宋体"/>
          <w:sz w:val="24"/>
        </w:rPr>
        <w:t>。</w:t>
      </w:r>
    </w:p>
    <w:p>
      <w:pPr>
        <w:spacing w:line="360" w:lineRule="auto"/>
        <w:ind w:firstLine="437"/>
        <w:outlineLvl w:val="3"/>
        <w:rPr>
          <w:rFonts w:ascii="宋体" w:hAnsi="宋体" w:eastAsia="宋体" w:cs="宋体"/>
          <w:b/>
          <w:sz w:val="24"/>
        </w:rPr>
      </w:pPr>
      <w:r>
        <w:rPr>
          <w:rFonts w:hint="eastAsia" w:ascii="宋体" w:hAnsi="宋体" w:eastAsia="宋体" w:cs="宋体"/>
          <w:b/>
          <w:sz w:val="24"/>
        </w:rPr>
        <w:t>16.</w:t>
      </w:r>
      <w:r>
        <w:rPr>
          <w:rFonts w:hint="eastAsia" w:ascii="宋体" w:hAnsi="宋体" w:eastAsia="宋体" w:cs="宋体"/>
        </w:rPr>
        <w:t xml:space="preserve"> </w:t>
      </w:r>
      <w:r>
        <w:rPr>
          <w:rFonts w:hint="eastAsia" w:ascii="宋体" w:hAnsi="宋体" w:eastAsia="宋体" w:cs="宋体"/>
          <w:b/>
          <w:sz w:val="24"/>
        </w:rPr>
        <w:t>响应文件提交截止时间</w:t>
      </w:r>
    </w:p>
    <w:p>
      <w:pPr>
        <w:spacing w:line="360" w:lineRule="auto"/>
        <w:ind w:firstLine="435"/>
        <w:rPr>
          <w:rFonts w:ascii="宋体" w:hAnsi="宋体" w:eastAsia="宋体" w:cs="宋体"/>
          <w:sz w:val="24"/>
        </w:rPr>
      </w:pPr>
      <w:r>
        <w:rPr>
          <w:rFonts w:hint="eastAsia" w:ascii="宋体" w:hAnsi="宋体" w:eastAsia="宋体" w:cs="宋体"/>
          <w:sz w:val="24"/>
        </w:rPr>
        <w:t>16.1供应商应在</w:t>
      </w:r>
      <w:r>
        <w:rPr>
          <w:rFonts w:hint="eastAsia" w:ascii="宋体" w:hAnsi="宋体" w:eastAsia="宋体" w:cs="宋体"/>
          <w:sz w:val="24"/>
          <w:u w:val="single"/>
        </w:rPr>
        <w:t>供应商须知前附表</w:t>
      </w:r>
      <w:r>
        <w:rPr>
          <w:rFonts w:hint="eastAsia" w:ascii="宋体" w:hAnsi="宋体" w:eastAsia="宋体" w:cs="宋体"/>
          <w:sz w:val="24"/>
        </w:rPr>
        <w:t>中规定的响应文件提交截止时间前，在网上提交加密电子响应文件。</w:t>
      </w:r>
    </w:p>
    <w:p>
      <w:pPr>
        <w:spacing w:line="360" w:lineRule="auto"/>
        <w:ind w:firstLine="435"/>
        <w:rPr>
          <w:rFonts w:ascii="宋体" w:hAnsi="宋体" w:eastAsia="宋体" w:cs="宋体"/>
          <w:sz w:val="24"/>
        </w:rPr>
      </w:pPr>
      <w:r>
        <w:rPr>
          <w:rFonts w:hint="eastAsia" w:ascii="宋体" w:hAnsi="宋体" w:eastAsia="宋体" w:cs="宋体"/>
          <w:sz w:val="24"/>
        </w:rPr>
        <w:t>16.2供应商在磋商文件规定的响应文件提交截止时间前上传了网上加密电子响应文件，但未在规定时间内进行解密的，</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35"/>
        <w:rPr>
          <w:rFonts w:ascii="宋体" w:hAnsi="宋体" w:eastAsia="宋体" w:cs="宋体"/>
          <w:sz w:val="24"/>
        </w:rPr>
      </w:pPr>
      <w:r>
        <w:rPr>
          <w:rFonts w:hint="eastAsia" w:ascii="宋体" w:hAnsi="宋体" w:eastAsia="宋体" w:cs="宋体"/>
          <w:sz w:val="24"/>
        </w:rPr>
        <w:t>16.3采购人和采购代理机构延迟响应文件提交截止时间的。采购人、采购代理机构和供应商受响应文件提交截止时间制约的所有权利和义务均应延长至新的截止时间。</w:t>
      </w:r>
    </w:p>
    <w:p>
      <w:pPr>
        <w:spacing w:line="360" w:lineRule="auto"/>
        <w:ind w:firstLine="437"/>
        <w:outlineLvl w:val="3"/>
        <w:rPr>
          <w:rFonts w:ascii="宋体" w:hAnsi="宋体" w:eastAsia="宋体" w:cs="宋体"/>
          <w:b/>
          <w:sz w:val="24"/>
        </w:rPr>
      </w:pPr>
      <w:r>
        <w:rPr>
          <w:rFonts w:hint="eastAsia" w:ascii="宋体" w:hAnsi="宋体" w:eastAsia="宋体" w:cs="宋体"/>
          <w:b/>
          <w:sz w:val="24"/>
        </w:rPr>
        <w:t>17.响应文件的提交、修改与撤回</w:t>
      </w:r>
    </w:p>
    <w:p>
      <w:pPr>
        <w:spacing w:line="360" w:lineRule="auto"/>
        <w:ind w:firstLine="435"/>
        <w:rPr>
          <w:rFonts w:ascii="宋体" w:hAnsi="宋体" w:eastAsia="宋体" w:cs="宋体"/>
          <w:sz w:val="24"/>
        </w:rPr>
      </w:pPr>
      <w:r>
        <w:rPr>
          <w:rFonts w:hint="eastAsia" w:ascii="宋体" w:hAnsi="宋体" w:eastAsia="宋体" w:cs="宋体"/>
          <w:sz w:val="24"/>
        </w:rPr>
        <w:t>17.1供应商应当在第一章“磋商公告（磋商邀请）”规定的响应文件提交截止时间前，将加密的响应文件在徽智采平台上传。</w:t>
      </w:r>
    </w:p>
    <w:p>
      <w:pPr>
        <w:spacing w:line="360" w:lineRule="auto"/>
        <w:ind w:firstLine="435"/>
        <w:rPr>
          <w:rFonts w:ascii="宋体" w:hAnsi="宋体" w:eastAsia="宋体" w:cs="宋体"/>
          <w:sz w:val="24"/>
        </w:rPr>
      </w:pPr>
      <w:r>
        <w:rPr>
          <w:rFonts w:hint="eastAsia" w:ascii="宋体" w:hAnsi="宋体" w:eastAsia="宋体" w:cs="宋体"/>
          <w:sz w:val="24"/>
        </w:rPr>
        <w:t>17.2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徽智采平台应当拒收。</w:t>
      </w:r>
    </w:p>
    <w:p>
      <w:pPr>
        <w:spacing w:line="360" w:lineRule="auto"/>
        <w:ind w:firstLine="435"/>
        <w:rPr>
          <w:rFonts w:ascii="宋体" w:hAnsi="宋体" w:eastAsia="宋体" w:cs="宋体"/>
          <w:sz w:val="24"/>
        </w:rPr>
      </w:pPr>
      <w:r>
        <w:rPr>
          <w:rFonts w:hint="eastAsia" w:ascii="宋体" w:hAnsi="宋体" w:eastAsia="宋体" w:cs="宋体"/>
          <w:sz w:val="24"/>
        </w:rPr>
        <w:t>17.3供应商应在</w:t>
      </w:r>
      <w:r>
        <w:rPr>
          <w:rFonts w:hint="eastAsia" w:ascii="宋体" w:hAnsi="宋体" w:eastAsia="宋体" w:cs="宋体"/>
          <w:sz w:val="24"/>
          <w:u w:val="single"/>
        </w:rPr>
        <w:t>供应商须知前附表</w:t>
      </w:r>
      <w:r>
        <w:rPr>
          <w:rFonts w:hint="eastAsia" w:ascii="宋体" w:hAnsi="宋体" w:eastAsia="宋体" w:cs="宋体"/>
          <w:sz w:val="24"/>
        </w:rPr>
        <w:t>规定的解密时间前（以徽智采平台解密倒计时为准）对本单位的响应文件远程解密。</w:t>
      </w:r>
    </w:p>
    <w:p>
      <w:pPr>
        <w:spacing w:line="360" w:lineRule="auto"/>
        <w:ind w:firstLine="435"/>
        <w:rPr>
          <w:rFonts w:ascii="宋体" w:hAnsi="宋体" w:eastAsia="宋体" w:cs="宋体"/>
          <w:sz w:val="24"/>
        </w:rPr>
      </w:pPr>
      <w:r>
        <w:rPr>
          <w:rFonts w:hint="eastAsia" w:ascii="宋体" w:hAnsi="宋体" w:eastAsia="宋体" w:cs="宋体"/>
          <w:sz w:val="24"/>
        </w:rPr>
        <w:t>17.4在响应文件提交截止时间之后，供应商不得对其响应文件做任何修改。但属于磋商小组在评审中发现的计算错误并进行核实的修改、按照磋商文件的变动情况和磋商小组的要求重新提交响应文件的，不在此列。</w:t>
      </w:r>
    </w:p>
    <w:p>
      <w:pPr>
        <w:spacing w:line="360" w:lineRule="auto"/>
        <w:ind w:firstLine="437"/>
        <w:outlineLvl w:val="3"/>
        <w:rPr>
          <w:rFonts w:ascii="宋体" w:hAnsi="宋体" w:eastAsia="宋体" w:cs="宋体"/>
          <w:b/>
          <w:sz w:val="24"/>
        </w:rPr>
      </w:pPr>
      <w:r>
        <w:rPr>
          <w:rFonts w:hint="eastAsia" w:ascii="宋体" w:hAnsi="宋体" w:eastAsia="宋体" w:cs="宋体"/>
          <w:b/>
          <w:sz w:val="24"/>
        </w:rPr>
        <w:t>18.磋商小组</w:t>
      </w:r>
    </w:p>
    <w:p>
      <w:pPr>
        <w:spacing w:line="360" w:lineRule="auto"/>
        <w:ind w:firstLine="435"/>
        <w:rPr>
          <w:rFonts w:ascii="宋体" w:hAnsi="宋体" w:eastAsia="宋体" w:cs="宋体"/>
          <w:sz w:val="24"/>
        </w:rPr>
      </w:pPr>
      <w:r>
        <w:rPr>
          <w:rFonts w:hint="eastAsia" w:ascii="宋体" w:hAnsi="宋体" w:eastAsia="宋体" w:cs="宋体"/>
          <w:sz w:val="24"/>
        </w:rPr>
        <w:t>18.1本项目将依法组建磋商小组，磋商小组成员由3人以上单数组成，磋商小组及其成员应当依照政府采购的有关规定履行相关职责和义务。</w:t>
      </w:r>
    </w:p>
    <w:p>
      <w:pPr>
        <w:spacing w:line="360" w:lineRule="auto"/>
        <w:ind w:firstLine="435"/>
        <w:rPr>
          <w:rFonts w:ascii="宋体" w:hAnsi="宋体" w:eastAsia="宋体" w:cs="宋体"/>
          <w:sz w:val="24"/>
        </w:rPr>
      </w:pPr>
      <w:r>
        <w:rPr>
          <w:rFonts w:hint="eastAsia" w:ascii="宋体" w:hAnsi="宋体" w:eastAsia="宋体" w:cs="宋体"/>
          <w:sz w:val="24"/>
        </w:rPr>
        <w:t>18.2磋商小组依法对响应文件进行评审，并根据磋商文件规定的程序、评定成交的标准等事项与实质性响应磋商文件要求的供应商进行磋商。</w:t>
      </w:r>
    </w:p>
    <w:p>
      <w:pPr>
        <w:spacing w:line="360" w:lineRule="auto"/>
        <w:ind w:firstLine="435"/>
        <w:rPr>
          <w:rFonts w:ascii="宋体" w:hAnsi="宋体" w:eastAsia="宋体" w:cs="宋体"/>
          <w:sz w:val="24"/>
        </w:rPr>
      </w:pPr>
      <w:r>
        <w:rPr>
          <w:rFonts w:hint="eastAsia" w:ascii="宋体" w:hAnsi="宋体" w:eastAsia="宋体" w:cs="宋体"/>
          <w:sz w:val="24"/>
        </w:rPr>
        <w:t>18.3磋商小组应当从质量和服务均能满足磋商文件实质性响应要求的供应商中，按照评审方法和标准推荐成交候选供应商，并编写评审报告。</w:t>
      </w:r>
    </w:p>
    <w:p>
      <w:pPr>
        <w:spacing w:line="360" w:lineRule="auto"/>
        <w:ind w:firstLine="437"/>
        <w:outlineLvl w:val="3"/>
        <w:rPr>
          <w:rFonts w:ascii="宋体" w:hAnsi="宋体" w:eastAsia="宋体" w:cs="宋体"/>
          <w:b/>
          <w:sz w:val="24"/>
        </w:rPr>
      </w:pPr>
      <w:r>
        <w:rPr>
          <w:rFonts w:hint="eastAsia" w:ascii="宋体" w:hAnsi="宋体" w:eastAsia="宋体" w:cs="宋体"/>
          <w:b/>
          <w:sz w:val="24"/>
        </w:rPr>
        <w:t>19.响应文件的评审与磋商</w:t>
      </w:r>
    </w:p>
    <w:p>
      <w:pPr>
        <w:spacing w:line="360" w:lineRule="auto"/>
        <w:ind w:firstLine="435"/>
        <w:rPr>
          <w:rFonts w:ascii="宋体" w:hAnsi="宋体" w:eastAsia="宋体" w:cs="宋体"/>
          <w:sz w:val="24"/>
        </w:rPr>
      </w:pPr>
      <w:r>
        <w:rPr>
          <w:rFonts w:hint="eastAsia" w:ascii="宋体" w:hAnsi="宋体" w:eastAsia="宋体" w:cs="宋体"/>
          <w:sz w:val="24"/>
        </w:rPr>
        <w:t>19.1采购人和采购代理机构将在</w:t>
      </w:r>
      <w:r>
        <w:rPr>
          <w:rFonts w:hint="eastAsia" w:ascii="宋体" w:hAnsi="宋体" w:eastAsia="宋体" w:cs="宋体"/>
          <w:sz w:val="24"/>
          <w:u w:val="single"/>
        </w:rPr>
        <w:t>供应商须知前附表</w:t>
      </w:r>
      <w:r>
        <w:rPr>
          <w:rFonts w:hint="eastAsia" w:ascii="宋体" w:hAnsi="宋体" w:eastAsia="宋体" w:cs="宋体"/>
          <w:sz w:val="24"/>
        </w:rPr>
        <w:t>规定的时间和地点组织磋商。</w:t>
      </w:r>
    </w:p>
    <w:p>
      <w:pPr>
        <w:spacing w:line="360" w:lineRule="auto"/>
        <w:ind w:firstLine="435"/>
        <w:rPr>
          <w:rFonts w:ascii="宋体" w:hAnsi="宋体" w:eastAsia="宋体" w:cs="宋体"/>
          <w:sz w:val="24"/>
        </w:rPr>
      </w:pPr>
      <w:r>
        <w:rPr>
          <w:rFonts w:hint="eastAsia" w:ascii="宋体" w:hAnsi="宋体" w:eastAsia="宋体" w:cs="宋体"/>
          <w:sz w:val="24"/>
        </w:rPr>
        <w:t>19.2竞争性磋商活动采用综合评分法评审。</w:t>
      </w:r>
    </w:p>
    <w:p>
      <w:pPr>
        <w:spacing w:line="360" w:lineRule="auto"/>
        <w:ind w:firstLine="435"/>
        <w:rPr>
          <w:rFonts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宋体" w:hAnsi="宋体" w:eastAsia="宋体" w:cs="宋体"/>
          <w:sz w:val="24"/>
        </w:rPr>
      </w:pPr>
      <w:r>
        <w:rPr>
          <w:rFonts w:hint="eastAsia" w:ascii="宋体" w:hAnsi="宋体" w:eastAsia="宋体" w:cs="宋体"/>
          <w:sz w:val="24"/>
        </w:rPr>
        <w:t>19.3磋商小组将按照磋商文件规定的评审方法和标准对供应商独立进行评审。评审程序如下：</w:t>
      </w:r>
    </w:p>
    <w:p>
      <w:pPr>
        <w:spacing w:line="360" w:lineRule="auto"/>
        <w:ind w:firstLine="435"/>
        <w:rPr>
          <w:rFonts w:ascii="宋体" w:hAnsi="宋体" w:eastAsia="宋体" w:cs="宋体"/>
          <w:sz w:val="24"/>
        </w:rPr>
      </w:pPr>
      <w:r>
        <w:rPr>
          <w:rFonts w:hint="eastAsia" w:ascii="宋体" w:hAnsi="宋体" w:eastAsia="宋体" w:cs="宋体"/>
          <w:sz w:val="24"/>
        </w:rPr>
        <w:t>19.3.1</w:t>
      </w:r>
      <w:r>
        <w:rPr>
          <w:rFonts w:hint="eastAsia" w:ascii="宋体" w:hAnsi="宋体" w:eastAsia="宋体" w:cs="宋体"/>
          <w:b/>
          <w:sz w:val="24"/>
        </w:rPr>
        <w:t>初审</w:t>
      </w:r>
      <w:r>
        <w:rPr>
          <w:rFonts w:hint="eastAsia" w:ascii="宋体" w:hAnsi="宋体" w:eastAsia="宋体" w:cs="宋体"/>
          <w:sz w:val="24"/>
        </w:rPr>
        <w:t>。磋商小组对供应商必须满足和实质性响应的内容进行评审，供应商未实质性响应磋商文件要求导致响应无效的，磋商小组将以书面询标的方式告知有关供应商。</w:t>
      </w:r>
    </w:p>
    <w:p>
      <w:pPr>
        <w:spacing w:line="360" w:lineRule="auto"/>
        <w:ind w:firstLine="470" w:firstLineChars="196"/>
        <w:rPr>
          <w:rFonts w:ascii="宋体" w:hAnsi="宋体" w:eastAsia="宋体" w:cs="宋体"/>
          <w:sz w:val="24"/>
        </w:rPr>
      </w:pPr>
      <w:r>
        <w:rPr>
          <w:rFonts w:hint="eastAsia" w:ascii="宋体" w:hAnsi="宋体" w:eastAsia="宋体" w:cs="宋体"/>
          <w:sz w:val="24"/>
        </w:rPr>
        <w:t>采购人或采购代理机构将在响应文件提交截止时间后至评审结束前查询供应商的信用记录。供应商存在不良信用记录的，其响应文件将被认定为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70" w:firstLineChars="196"/>
        <w:rPr>
          <w:rFonts w:ascii="宋体" w:hAnsi="宋体" w:eastAsia="宋体" w:cs="宋体"/>
          <w:sz w:val="24"/>
        </w:rPr>
      </w:pPr>
      <w:r>
        <w:rPr>
          <w:rFonts w:hint="eastAsia" w:ascii="宋体" w:hAnsi="宋体" w:eastAsia="宋体" w:cs="宋体"/>
          <w:sz w:val="24"/>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spacing w:line="360" w:lineRule="auto"/>
        <w:ind w:firstLine="360" w:firstLineChars="150"/>
        <w:rPr>
          <w:rFonts w:ascii="宋体" w:hAnsi="宋体" w:eastAsia="宋体" w:cs="宋体"/>
          <w:sz w:val="24"/>
        </w:rPr>
      </w:pPr>
      <w:r>
        <w:rPr>
          <w:rFonts w:hint="eastAsia" w:ascii="宋体" w:hAnsi="宋体" w:eastAsia="宋体" w:cs="宋体"/>
          <w:sz w:val="24"/>
        </w:rPr>
        <w:t>以联合体形式参加磋商的，联合体任何成员存在以上不良信用记录的，联合体磋商将被认定为</w:t>
      </w:r>
      <w:r>
        <w:rPr>
          <w:rFonts w:hint="eastAsia" w:ascii="宋体" w:hAnsi="宋体" w:eastAsia="宋体" w:cs="宋体"/>
          <w:b/>
          <w:sz w:val="24"/>
        </w:rPr>
        <w:t>响应无效</w:t>
      </w:r>
      <w:r>
        <w:rPr>
          <w:rFonts w:hint="eastAsia" w:ascii="宋体" w:hAnsi="宋体" w:eastAsia="宋体" w:cs="宋体"/>
          <w:sz w:val="24"/>
        </w:rPr>
        <w:t>。</w:t>
      </w:r>
    </w:p>
    <w:p>
      <w:pPr>
        <w:spacing w:line="360" w:lineRule="auto"/>
        <w:ind w:firstLine="470" w:firstLineChars="196"/>
        <w:rPr>
          <w:rFonts w:ascii="宋体" w:hAnsi="宋体" w:eastAsia="宋体" w:cs="宋体"/>
          <w:sz w:val="24"/>
        </w:rPr>
      </w:pPr>
      <w:r>
        <w:rPr>
          <w:rFonts w:hint="eastAsia" w:ascii="宋体" w:hAnsi="宋体" w:eastAsia="宋体" w:cs="宋体"/>
          <w:sz w:val="24"/>
        </w:rPr>
        <w:t>19.3.1.2信用信息查询渠道：中国政府采购网（www.ccgp.gov.cn）、“信用中国”网站（www.creditchina.gov.cn）。</w:t>
      </w:r>
    </w:p>
    <w:p>
      <w:pPr>
        <w:spacing w:line="360" w:lineRule="auto"/>
        <w:ind w:firstLine="470" w:firstLineChars="196"/>
        <w:rPr>
          <w:rFonts w:ascii="宋体" w:hAnsi="宋体" w:eastAsia="宋体" w:cs="宋体"/>
          <w:sz w:val="24"/>
        </w:rPr>
      </w:pPr>
      <w:r>
        <w:rPr>
          <w:rFonts w:hint="eastAsia" w:ascii="宋体" w:hAnsi="宋体" w:eastAsia="宋体" w:cs="宋体"/>
          <w:sz w:val="24"/>
        </w:rPr>
        <w:t>19.3.1.3信用信息记录方式：采购人或采购代理机构工作人员将查询网页打印、签字并存档备查。供应商不良信用记录以采购人或采购代理机构查询结果为准。</w:t>
      </w:r>
    </w:p>
    <w:p>
      <w:pPr>
        <w:spacing w:line="360" w:lineRule="auto"/>
        <w:ind w:firstLine="470" w:firstLineChars="196"/>
        <w:rPr>
          <w:rFonts w:ascii="宋体" w:hAnsi="宋体" w:eastAsia="宋体" w:cs="宋体"/>
          <w:sz w:val="24"/>
        </w:rPr>
      </w:pPr>
      <w:r>
        <w:rPr>
          <w:rFonts w:hint="eastAsia" w:ascii="宋体" w:hAnsi="宋体" w:eastAsia="宋体" w:cs="宋体"/>
          <w:sz w:val="24"/>
        </w:rPr>
        <w:t>在本磋商文件规定的查询时间之外，网站信息发生的任何变更均不作为资格审查依据。</w:t>
      </w:r>
    </w:p>
    <w:p>
      <w:pPr>
        <w:spacing w:line="360" w:lineRule="auto"/>
        <w:ind w:firstLine="470" w:firstLineChars="196"/>
        <w:rPr>
          <w:rFonts w:ascii="宋体" w:hAnsi="宋体" w:eastAsia="宋体" w:cs="宋体"/>
          <w:sz w:val="24"/>
        </w:rPr>
      </w:pPr>
      <w:r>
        <w:rPr>
          <w:rFonts w:hint="eastAsia" w:ascii="宋体" w:hAnsi="宋体" w:eastAsia="宋体" w:cs="宋体"/>
          <w:sz w:val="24"/>
        </w:rPr>
        <w:t>供应商自行提供的与网站信息不一致的其他证明材料亦不作为资格审查依据。</w:t>
      </w:r>
    </w:p>
    <w:p>
      <w:pPr>
        <w:spacing w:line="360" w:lineRule="auto"/>
        <w:ind w:firstLine="435"/>
        <w:rPr>
          <w:rFonts w:ascii="宋体" w:hAnsi="宋体" w:eastAsia="宋体" w:cs="宋体"/>
          <w:sz w:val="24"/>
        </w:rPr>
      </w:pPr>
      <w:r>
        <w:rPr>
          <w:rFonts w:hint="eastAsia" w:ascii="宋体" w:hAnsi="宋体" w:eastAsia="宋体" w:cs="宋体"/>
          <w:sz w:val="24"/>
        </w:rPr>
        <w:t>19.3.2</w:t>
      </w:r>
      <w:r>
        <w:rPr>
          <w:rFonts w:hint="eastAsia" w:ascii="宋体" w:hAnsi="宋体" w:eastAsia="宋体" w:cs="宋体"/>
          <w:b/>
          <w:sz w:val="24"/>
        </w:rPr>
        <w:t>磋商</w:t>
      </w:r>
      <w:r>
        <w:rPr>
          <w:rFonts w:hint="eastAsia" w:ascii="宋体" w:hAnsi="宋体" w:eastAsia="宋体" w:cs="宋体"/>
          <w:sz w:val="24"/>
        </w:rPr>
        <w:t>。初审合格后，磋商小组将按网上加密电子响应文件提交顺序集中与单一供应商分别进行磋商，并给予所有参加磋商的供应商平等的磋商机会，如供应商未到磋商现场的，视同放弃该权利。</w:t>
      </w:r>
    </w:p>
    <w:p>
      <w:pPr>
        <w:spacing w:line="360" w:lineRule="auto"/>
        <w:ind w:firstLine="435"/>
        <w:rPr>
          <w:rFonts w:ascii="宋体" w:hAnsi="宋体" w:eastAsia="宋体" w:cs="宋体"/>
          <w:sz w:val="24"/>
        </w:rPr>
      </w:pPr>
      <w:r>
        <w:rPr>
          <w:rFonts w:hint="eastAsia" w:ascii="宋体" w:hAnsi="宋体" w:eastAsia="宋体" w:cs="宋体"/>
          <w:sz w:val="24"/>
        </w:rPr>
        <w:t>19.3.3</w:t>
      </w:r>
      <w:r>
        <w:rPr>
          <w:rFonts w:hint="eastAsia" w:ascii="宋体" w:hAnsi="宋体" w:eastAsia="宋体" w:cs="宋体"/>
          <w:b/>
          <w:sz w:val="24"/>
        </w:rPr>
        <w:t>报价</w:t>
      </w:r>
      <w:r>
        <w:rPr>
          <w:rFonts w:hint="eastAsia" w:ascii="宋体" w:hAnsi="宋体" w:eastAsia="宋体" w:cs="宋体"/>
          <w:sz w:val="24"/>
        </w:rPr>
        <w:t>。磋商结束后，磋商小组应当要求所有实质性响应的供应商在规定时间内提交最后报价。</w:t>
      </w:r>
    </w:p>
    <w:p>
      <w:pPr>
        <w:spacing w:line="360" w:lineRule="auto"/>
        <w:ind w:firstLine="435"/>
        <w:rPr>
          <w:rFonts w:ascii="宋体" w:hAnsi="宋体" w:eastAsia="宋体" w:cs="宋体"/>
          <w:sz w:val="24"/>
        </w:rPr>
      </w:pPr>
      <w:r>
        <w:rPr>
          <w:rFonts w:hint="eastAsia" w:ascii="宋体" w:hAnsi="宋体" w:eastAsia="宋体" w:cs="宋体"/>
          <w:sz w:val="24"/>
        </w:rPr>
        <w:t>19.3.4</w:t>
      </w:r>
      <w:r>
        <w:rPr>
          <w:rFonts w:hint="eastAsia" w:ascii="宋体" w:hAnsi="宋体" w:eastAsia="宋体" w:cs="宋体"/>
          <w:b/>
          <w:sz w:val="24"/>
        </w:rPr>
        <w:t>综合评分</w:t>
      </w:r>
      <w:r>
        <w:rPr>
          <w:rFonts w:hint="eastAsia" w:ascii="宋体" w:hAnsi="宋体" w:eastAsia="宋体" w:cs="宋体"/>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spacing w:line="360" w:lineRule="auto"/>
        <w:ind w:firstLine="435"/>
        <w:rPr>
          <w:rFonts w:ascii="宋体" w:hAnsi="宋体" w:eastAsia="宋体" w:cs="宋体"/>
          <w:sz w:val="24"/>
        </w:rPr>
      </w:pPr>
      <w:r>
        <w:rPr>
          <w:rFonts w:hint="eastAsia" w:ascii="宋体" w:hAnsi="宋体" w:eastAsia="宋体" w:cs="宋体"/>
          <w:sz w:val="24"/>
        </w:rPr>
        <w:t>19.4相关说明。</w:t>
      </w:r>
    </w:p>
    <w:p>
      <w:pPr>
        <w:spacing w:line="360" w:lineRule="auto"/>
        <w:ind w:firstLine="435"/>
        <w:rPr>
          <w:rFonts w:ascii="宋体" w:hAnsi="宋体" w:eastAsia="宋体" w:cs="宋体"/>
          <w:sz w:val="24"/>
        </w:rPr>
      </w:pPr>
      <w:r>
        <w:rPr>
          <w:rFonts w:hint="eastAsia" w:ascii="宋体" w:hAnsi="宋体" w:eastAsia="宋体" w:cs="宋体"/>
          <w:sz w:val="24"/>
        </w:rPr>
        <w:t xml:space="preserve">19.4.1为保证磋商活动顺利进行，供应商可派相关技术人员进行现场答疑； </w:t>
      </w:r>
    </w:p>
    <w:p>
      <w:pPr>
        <w:spacing w:line="360" w:lineRule="auto"/>
        <w:ind w:firstLine="435"/>
        <w:rPr>
          <w:rFonts w:ascii="宋体" w:hAnsi="宋体" w:eastAsia="宋体" w:cs="宋体"/>
          <w:sz w:val="24"/>
        </w:rPr>
      </w:pPr>
      <w:r>
        <w:rPr>
          <w:rFonts w:hint="eastAsia" w:ascii="宋体" w:hAnsi="宋体" w:eastAsia="宋体" w:cs="宋体"/>
          <w:sz w:val="24"/>
        </w:rPr>
        <w:t>19.4.2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spacing w:line="360" w:lineRule="auto"/>
        <w:ind w:firstLine="435"/>
        <w:rPr>
          <w:rFonts w:ascii="宋体" w:hAnsi="宋体" w:eastAsia="宋体" w:cs="宋体"/>
          <w:sz w:val="24"/>
        </w:rPr>
      </w:pPr>
      <w:r>
        <w:rPr>
          <w:rFonts w:hint="eastAsia" w:ascii="宋体" w:hAnsi="宋体" w:eastAsia="宋体" w:cs="宋体"/>
          <w:sz w:val="24"/>
        </w:rPr>
        <w:t>19.4.3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spacing w:line="360" w:lineRule="auto"/>
        <w:ind w:firstLine="435"/>
        <w:rPr>
          <w:rFonts w:ascii="宋体" w:hAnsi="宋体" w:eastAsia="宋体" w:cs="宋体"/>
          <w:sz w:val="24"/>
        </w:rPr>
      </w:pPr>
      <w:r>
        <w:rPr>
          <w:rFonts w:hint="eastAsia" w:ascii="宋体" w:hAnsi="宋体" w:eastAsia="宋体" w:cs="宋体"/>
          <w:sz w:val="24"/>
        </w:rPr>
        <w:t>19.4.4无论何种原因，即使供应商磋商时携带了证书材料的原件，但响应文件中未提供与之内容完全一致的扫描件或影印件的，磋商小组可以视同其未提供。</w:t>
      </w:r>
    </w:p>
    <w:p>
      <w:pPr>
        <w:spacing w:line="360" w:lineRule="auto"/>
        <w:ind w:firstLine="435"/>
        <w:rPr>
          <w:rFonts w:ascii="宋体" w:hAnsi="宋体" w:eastAsia="宋体" w:cs="宋体"/>
          <w:sz w:val="24"/>
        </w:rPr>
      </w:pPr>
      <w:r>
        <w:rPr>
          <w:rFonts w:hint="eastAsia" w:ascii="宋体" w:hAnsi="宋体" w:eastAsia="宋体" w:cs="宋体"/>
          <w:sz w:val="24"/>
        </w:rPr>
        <w:t>19.4.5磋商小组决定响应文件的响应性及符合性只根据响应文件本身的内容，而不寻求其他外部证据。</w:t>
      </w:r>
    </w:p>
    <w:p>
      <w:pPr>
        <w:spacing w:line="360" w:lineRule="auto"/>
        <w:ind w:firstLine="435"/>
        <w:rPr>
          <w:rFonts w:ascii="宋体" w:hAnsi="宋体" w:eastAsia="宋体" w:cs="宋体"/>
          <w:sz w:val="24"/>
        </w:rPr>
      </w:pPr>
      <w:r>
        <w:rPr>
          <w:rFonts w:hint="eastAsia" w:ascii="宋体" w:hAnsi="宋体" w:eastAsia="宋体" w:cs="宋体"/>
          <w:sz w:val="24"/>
        </w:rPr>
        <w:t xml:space="preserve">19.5供应商授权代表对磋商过程有疑义，以及认为采购人、采购代理机构相关工作人员有需要回避的情形的，应当场提出询问或者回避申请，并说明理由。 </w:t>
      </w:r>
    </w:p>
    <w:p>
      <w:pPr>
        <w:spacing w:line="360" w:lineRule="auto"/>
        <w:ind w:firstLine="437"/>
        <w:outlineLvl w:val="3"/>
        <w:rPr>
          <w:rFonts w:ascii="宋体" w:hAnsi="宋体" w:eastAsia="宋体" w:cs="宋体"/>
          <w:b/>
          <w:sz w:val="24"/>
        </w:rPr>
      </w:pPr>
      <w:r>
        <w:rPr>
          <w:rFonts w:hint="eastAsia" w:ascii="宋体" w:hAnsi="宋体" w:eastAsia="宋体" w:cs="宋体"/>
          <w:b/>
          <w:sz w:val="24"/>
        </w:rPr>
        <w:t>20.终止竞争性磋商</w:t>
      </w:r>
    </w:p>
    <w:p>
      <w:pPr>
        <w:spacing w:line="360" w:lineRule="auto"/>
        <w:ind w:firstLine="435"/>
        <w:rPr>
          <w:rFonts w:ascii="宋体" w:hAnsi="宋体" w:eastAsia="宋体" w:cs="宋体"/>
          <w:sz w:val="24"/>
        </w:rPr>
      </w:pPr>
      <w:r>
        <w:rPr>
          <w:rFonts w:hint="eastAsia" w:ascii="宋体" w:hAnsi="宋体" w:eastAsia="宋体" w:cs="宋体"/>
          <w:sz w:val="24"/>
        </w:rPr>
        <w:t>20.1出现下列情况之一时，采购人和采购代理机构有权宣布终止竞争性磋商采购，并将理由通知所有供应商：</w:t>
      </w:r>
    </w:p>
    <w:p>
      <w:pPr>
        <w:spacing w:line="360" w:lineRule="auto"/>
        <w:ind w:firstLine="435"/>
        <w:rPr>
          <w:rFonts w:ascii="宋体" w:hAnsi="宋体" w:eastAsia="宋体" w:cs="宋体"/>
          <w:sz w:val="24"/>
        </w:rPr>
      </w:pPr>
      <w:r>
        <w:rPr>
          <w:rFonts w:hint="eastAsia" w:ascii="宋体" w:hAnsi="宋体" w:eastAsia="宋体" w:cs="宋体"/>
          <w:sz w:val="24"/>
        </w:rPr>
        <w:t>（1）有效供应商数量不足，导致本次磋商缺乏竞争的；</w:t>
      </w:r>
    </w:p>
    <w:p>
      <w:pPr>
        <w:spacing w:line="360" w:lineRule="auto"/>
        <w:ind w:firstLine="435"/>
        <w:rPr>
          <w:rFonts w:ascii="宋体" w:hAnsi="宋体" w:eastAsia="宋体" w:cs="宋体"/>
          <w:sz w:val="24"/>
        </w:rPr>
      </w:pPr>
      <w:r>
        <w:rPr>
          <w:rFonts w:hint="eastAsia" w:ascii="宋体" w:hAnsi="宋体" w:eastAsia="宋体" w:cs="宋体"/>
          <w:sz w:val="24"/>
        </w:rPr>
        <w:t>（2）出现影响采购公正的违法、违规行为的；</w:t>
      </w:r>
    </w:p>
    <w:p>
      <w:pPr>
        <w:spacing w:line="360" w:lineRule="auto"/>
        <w:ind w:firstLine="435"/>
        <w:rPr>
          <w:rFonts w:ascii="宋体" w:hAnsi="宋体" w:eastAsia="宋体" w:cs="宋体"/>
          <w:sz w:val="24"/>
        </w:rPr>
      </w:pPr>
      <w:r>
        <w:rPr>
          <w:rFonts w:hint="eastAsia" w:ascii="宋体" w:hAnsi="宋体" w:eastAsia="宋体" w:cs="宋体"/>
          <w:sz w:val="24"/>
        </w:rPr>
        <w:t>（3）因重大变故，采购任务取消的；</w:t>
      </w:r>
    </w:p>
    <w:p>
      <w:pPr>
        <w:spacing w:line="360" w:lineRule="auto"/>
        <w:ind w:firstLine="435"/>
        <w:rPr>
          <w:rFonts w:ascii="宋体" w:hAnsi="宋体" w:eastAsia="宋体" w:cs="宋体"/>
          <w:sz w:val="24"/>
        </w:rPr>
      </w:pPr>
      <w:r>
        <w:rPr>
          <w:rFonts w:hint="eastAsia" w:ascii="宋体" w:hAnsi="宋体" w:eastAsia="宋体" w:cs="宋体"/>
          <w:sz w:val="24"/>
        </w:rPr>
        <w:t>（4）政府采购法律法规规定的其他情形。</w:t>
      </w:r>
    </w:p>
    <w:p>
      <w:pPr>
        <w:spacing w:line="360" w:lineRule="auto"/>
        <w:ind w:firstLine="437"/>
        <w:outlineLvl w:val="3"/>
        <w:rPr>
          <w:rFonts w:ascii="宋体" w:hAnsi="宋体" w:eastAsia="宋体" w:cs="宋体"/>
          <w:b/>
          <w:sz w:val="24"/>
        </w:rPr>
      </w:pPr>
      <w:r>
        <w:rPr>
          <w:rFonts w:hint="eastAsia" w:ascii="宋体" w:hAnsi="宋体" w:eastAsia="宋体" w:cs="宋体"/>
          <w:b/>
          <w:sz w:val="24"/>
        </w:rPr>
        <w:t>21.响应文件的澄清、说明或更正</w:t>
      </w:r>
    </w:p>
    <w:p>
      <w:pPr>
        <w:spacing w:line="360" w:lineRule="auto"/>
        <w:ind w:firstLine="470" w:firstLineChars="196"/>
        <w:rPr>
          <w:rFonts w:ascii="宋体" w:hAnsi="宋体" w:eastAsia="宋体" w:cs="宋体"/>
          <w:sz w:val="24"/>
        </w:rPr>
      </w:pPr>
      <w:r>
        <w:rPr>
          <w:rFonts w:hint="eastAsia" w:ascii="宋体" w:hAnsi="宋体" w:eastAsia="宋体" w:cs="宋体"/>
          <w:sz w:val="24"/>
        </w:rPr>
        <w:t>21.1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70" w:firstLineChars="196"/>
        <w:rPr>
          <w:rFonts w:ascii="宋体" w:hAnsi="宋体" w:eastAsia="宋体" w:cs="宋体"/>
          <w:sz w:val="24"/>
        </w:rPr>
      </w:pPr>
      <w:r>
        <w:rPr>
          <w:rFonts w:hint="eastAsia" w:ascii="宋体" w:hAnsi="宋体" w:eastAsia="宋体" w:cs="宋体"/>
          <w:sz w:val="24"/>
        </w:rPr>
        <w:t>21.2磋商小组要求供应商澄清、说明或者更正响应文件应当以书面形式（询标）作出。供应商的澄清、说明或者更正应当由法定代表人或其授权代表签字或者加盖公章。</w:t>
      </w:r>
    </w:p>
    <w:p>
      <w:pPr>
        <w:spacing w:line="360" w:lineRule="auto"/>
        <w:ind w:firstLine="470" w:firstLineChars="196"/>
        <w:rPr>
          <w:rFonts w:ascii="宋体" w:hAnsi="宋体" w:eastAsia="宋体" w:cs="宋体"/>
          <w:sz w:val="24"/>
        </w:rPr>
      </w:pPr>
      <w:r>
        <w:rPr>
          <w:rFonts w:hint="eastAsia" w:ascii="宋体" w:hAnsi="宋体" w:eastAsia="宋体" w:cs="宋体"/>
          <w:sz w:val="24"/>
        </w:rPr>
        <w:t>如有询标，授权代表（或法定代表人）可通过远程登录的方式接受网上询标，也可携带本人有效身份证明原件参加询标。因授权代表联系不上、没有及时登录系统、未到磋商现场等情形而无法接受磋商小组询标的，供应商自行承担相关风险。</w:t>
      </w:r>
    </w:p>
    <w:p>
      <w:pPr>
        <w:spacing w:line="360" w:lineRule="auto"/>
        <w:ind w:firstLine="437"/>
        <w:outlineLvl w:val="3"/>
        <w:rPr>
          <w:rFonts w:ascii="宋体" w:hAnsi="宋体" w:eastAsia="宋体" w:cs="宋体"/>
          <w:b/>
          <w:sz w:val="24"/>
        </w:rPr>
      </w:pPr>
      <w:r>
        <w:rPr>
          <w:rFonts w:hint="eastAsia" w:ascii="宋体" w:hAnsi="宋体" w:eastAsia="宋体" w:cs="宋体"/>
          <w:b/>
          <w:sz w:val="24"/>
        </w:rPr>
        <w:t>22.最后报价</w:t>
      </w:r>
    </w:p>
    <w:p>
      <w:pPr>
        <w:spacing w:line="360" w:lineRule="auto"/>
        <w:ind w:firstLine="435"/>
        <w:rPr>
          <w:rFonts w:ascii="宋体" w:hAnsi="宋体" w:eastAsia="宋体" w:cs="宋体"/>
          <w:sz w:val="24"/>
        </w:rPr>
      </w:pPr>
      <w:r>
        <w:rPr>
          <w:rFonts w:hint="eastAsia" w:ascii="宋体" w:hAnsi="宋体" w:eastAsia="宋体" w:cs="宋体"/>
          <w:sz w:val="24"/>
        </w:rPr>
        <w:t>22.1磋商并不限定只进行二轮报价，如果磋商小组认为有必要，可以要求供应商进行多轮报价。</w:t>
      </w:r>
    </w:p>
    <w:p>
      <w:pPr>
        <w:spacing w:line="360" w:lineRule="auto"/>
        <w:ind w:firstLine="435"/>
        <w:rPr>
          <w:rFonts w:ascii="宋体" w:hAnsi="宋体" w:eastAsia="宋体" w:cs="宋体"/>
          <w:sz w:val="24"/>
        </w:rPr>
      </w:pPr>
      <w:r>
        <w:rPr>
          <w:rFonts w:hint="eastAsia" w:ascii="宋体" w:hAnsi="宋体" w:eastAsia="宋体" w:cs="宋体"/>
          <w:sz w:val="24"/>
        </w:rPr>
        <w:t>22.2在磋商内容不做实质性变更或重大调整的前提下，供应商下轮报价不得高于上一轮报价。</w:t>
      </w:r>
    </w:p>
    <w:p>
      <w:pPr>
        <w:spacing w:line="360" w:lineRule="auto"/>
        <w:ind w:firstLine="435"/>
        <w:rPr>
          <w:rFonts w:ascii="宋体" w:hAnsi="宋体" w:eastAsia="宋体" w:cs="宋体"/>
          <w:sz w:val="24"/>
        </w:rPr>
      </w:pPr>
      <w:r>
        <w:rPr>
          <w:rFonts w:hint="eastAsia" w:ascii="宋体" w:hAnsi="宋体" w:eastAsia="宋体" w:cs="宋体"/>
          <w:sz w:val="24"/>
        </w:rPr>
        <w:t>22.3最后报价是供应商响应文件的有效组成部分，最后报价也是签订合同的依据。</w:t>
      </w:r>
    </w:p>
    <w:p>
      <w:pPr>
        <w:spacing w:line="360" w:lineRule="auto"/>
        <w:ind w:firstLine="435"/>
        <w:rPr>
          <w:rFonts w:ascii="宋体" w:hAnsi="宋体" w:eastAsia="宋体" w:cs="宋体"/>
          <w:sz w:val="24"/>
        </w:rPr>
      </w:pPr>
      <w:r>
        <w:rPr>
          <w:rFonts w:hint="eastAsia" w:ascii="宋体" w:hAnsi="宋体" w:eastAsia="宋体" w:cs="宋体"/>
          <w:sz w:val="24"/>
        </w:rPr>
        <w:t>22.4根据《政府采购促进中小企业发展暂行办法》（财库[2011]181号）、《安徽省财政厅 安徽省经济和信息化委员会转发〈财政部工业和信息化部关于印发政府采购促进中小企业发展暂行办法〉的通知》（财购〔2012〕142号）、《财政部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pPr>
        <w:spacing w:line="360" w:lineRule="auto"/>
        <w:ind w:firstLine="435"/>
        <w:rPr>
          <w:rFonts w:ascii="宋体" w:hAnsi="宋体" w:eastAsia="宋体" w:cs="宋体"/>
          <w:sz w:val="24"/>
        </w:rPr>
      </w:pPr>
      <w:r>
        <w:rPr>
          <w:rFonts w:hint="eastAsia" w:ascii="宋体" w:hAnsi="宋体" w:eastAsia="宋体" w:cs="宋体"/>
          <w:sz w:val="24"/>
        </w:rPr>
        <w:t>联合体协议中约定，小型、微型企业和监狱企业的协议合同金额占到联合体协议合同总金额30%以上的，可给予联合体报价按照供应商须知前附表中规定的标准扣除后参与评审。</w:t>
      </w:r>
    </w:p>
    <w:p>
      <w:pPr>
        <w:spacing w:line="360" w:lineRule="auto"/>
        <w:ind w:firstLine="435"/>
        <w:rPr>
          <w:rFonts w:ascii="宋体" w:hAnsi="宋体" w:eastAsia="宋体" w:cs="宋体"/>
          <w:sz w:val="24"/>
        </w:rPr>
      </w:pPr>
      <w:r>
        <w:rPr>
          <w:rFonts w:hint="eastAsia" w:ascii="宋体" w:hAnsi="宋体" w:eastAsia="宋体" w:cs="宋体"/>
          <w:sz w:val="24"/>
        </w:rPr>
        <w:t>联合体各方均为小型、微型企业和监狱企业的，联合体视同为小型、微型企业和监狱企业。</w:t>
      </w:r>
    </w:p>
    <w:p>
      <w:pPr>
        <w:spacing w:line="360" w:lineRule="auto"/>
        <w:ind w:firstLine="437"/>
        <w:outlineLvl w:val="3"/>
        <w:rPr>
          <w:rFonts w:ascii="宋体" w:hAnsi="宋体" w:eastAsia="宋体" w:cs="宋体"/>
          <w:b/>
          <w:sz w:val="24"/>
        </w:rPr>
      </w:pPr>
      <w:r>
        <w:rPr>
          <w:rFonts w:hint="eastAsia" w:ascii="宋体" w:hAnsi="宋体" w:eastAsia="宋体" w:cs="宋体"/>
          <w:b/>
          <w:sz w:val="24"/>
        </w:rPr>
        <w:t>23.成交候选供应商的推荐原则及标准</w:t>
      </w:r>
    </w:p>
    <w:p>
      <w:pPr>
        <w:spacing w:line="360" w:lineRule="auto"/>
        <w:ind w:firstLine="435"/>
        <w:rPr>
          <w:rFonts w:ascii="宋体" w:hAnsi="宋体" w:eastAsia="宋体" w:cs="宋体"/>
          <w:sz w:val="24"/>
        </w:rPr>
      </w:pPr>
      <w:r>
        <w:rPr>
          <w:rFonts w:hint="eastAsia" w:ascii="宋体" w:hAnsi="宋体" w:eastAsia="宋体" w:cs="宋体"/>
          <w:sz w:val="24"/>
        </w:rPr>
        <w:t>23.1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资信分中课程教学服务方案得分高的推荐成交候选供应商。</w:t>
      </w:r>
    </w:p>
    <w:p>
      <w:pPr>
        <w:spacing w:line="360" w:lineRule="auto"/>
        <w:ind w:firstLine="437"/>
        <w:outlineLvl w:val="3"/>
        <w:rPr>
          <w:rFonts w:ascii="宋体" w:hAnsi="宋体" w:eastAsia="宋体" w:cs="宋体"/>
          <w:b/>
          <w:sz w:val="24"/>
        </w:rPr>
      </w:pPr>
      <w:r>
        <w:rPr>
          <w:rFonts w:hint="eastAsia" w:ascii="宋体" w:hAnsi="宋体" w:eastAsia="宋体" w:cs="宋体"/>
          <w:b/>
          <w:sz w:val="24"/>
        </w:rPr>
        <w:t>24.确定成交候选供应商和成交供应商</w:t>
      </w:r>
    </w:p>
    <w:p>
      <w:pPr>
        <w:spacing w:line="360" w:lineRule="auto"/>
        <w:ind w:firstLine="470" w:firstLineChars="196"/>
        <w:rPr>
          <w:rFonts w:ascii="宋体" w:hAnsi="宋体" w:eastAsia="宋体" w:cs="宋体"/>
          <w:sz w:val="24"/>
        </w:rPr>
      </w:pPr>
      <w:r>
        <w:rPr>
          <w:rFonts w:hint="eastAsia" w:ascii="宋体" w:hAnsi="宋体" w:eastAsia="宋体" w:cs="宋体"/>
          <w:sz w:val="24"/>
        </w:rPr>
        <w:t>24.1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p>
    <w:p>
      <w:pPr>
        <w:spacing w:line="360" w:lineRule="auto"/>
        <w:ind w:firstLine="437"/>
        <w:outlineLvl w:val="3"/>
        <w:rPr>
          <w:rFonts w:ascii="宋体" w:hAnsi="宋体" w:eastAsia="宋体" w:cs="宋体"/>
          <w:b/>
          <w:sz w:val="24"/>
        </w:rPr>
      </w:pPr>
      <w:r>
        <w:rPr>
          <w:rFonts w:hint="eastAsia" w:ascii="宋体" w:hAnsi="宋体" w:eastAsia="宋体" w:cs="宋体"/>
          <w:b/>
          <w:sz w:val="24"/>
        </w:rPr>
        <w:t>25.编写评审报告</w:t>
      </w:r>
    </w:p>
    <w:p>
      <w:pPr>
        <w:spacing w:line="360" w:lineRule="auto"/>
        <w:ind w:firstLine="435"/>
        <w:rPr>
          <w:rFonts w:ascii="宋体" w:hAnsi="宋体" w:eastAsia="宋体" w:cs="宋体"/>
          <w:sz w:val="24"/>
        </w:rPr>
      </w:pPr>
      <w:r>
        <w:rPr>
          <w:rFonts w:hint="eastAsia" w:ascii="宋体" w:hAnsi="宋体" w:eastAsia="宋体" w:cs="宋体"/>
          <w:sz w:val="24"/>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3"/>
        <w:rPr>
          <w:rFonts w:ascii="宋体" w:hAnsi="宋体" w:eastAsia="宋体" w:cs="宋体"/>
          <w:b/>
          <w:sz w:val="24"/>
        </w:rPr>
      </w:pPr>
      <w:r>
        <w:rPr>
          <w:rFonts w:hint="eastAsia" w:ascii="宋体" w:hAnsi="宋体" w:eastAsia="宋体" w:cs="宋体"/>
          <w:b/>
          <w:sz w:val="24"/>
        </w:rPr>
        <w:t>26.保密要求</w:t>
      </w:r>
    </w:p>
    <w:p>
      <w:pPr>
        <w:spacing w:line="360" w:lineRule="auto"/>
        <w:ind w:firstLine="435"/>
        <w:rPr>
          <w:rFonts w:ascii="宋体" w:hAnsi="宋体" w:eastAsia="宋体" w:cs="宋体"/>
          <w:sz w:val="24"/>
        </w:rPr>
      </w:pPr>
      <w:r>
        <w:rPr>
          <w:rFonts w:hint="eastAsia" w:ascii="宋体" w:hAnsi="宋体" w:eastAsia="宋体" w:cs="宋体"/>
          <w:sz w:val="24"/>
        </w:rPr>
        <w:t>26.1评审将在严格保密的情况下进行。</w:t>
      </w:r>
    </w:p>
    <w:p>
      <w:pPr>
        <w:spacing w:line="360" w:lineRule="auto"/>
        <w:ind w:firstLine="435"/>
        <w:rPr>
          <w:rFonts w:ascii="宋体" w:hAnsi="宋体" w:eastAsia="宋体" w:cs="宋体"/>
          <w:sz w:val="24"/>
        </w:rPr>
      </w:pPr>
      <w:r>
        <w:rPr>
          <w:rFonts w:hint="eastAsia" w:ascii="宋体" w:hAnsi="宋体" w:eastAsia="宋体" w:cs="宋体"/>
          <w:sz w:val="24"/>
        </w:rPr>
        <w:t>26.2有关人员应当遵守评审工作纪律，不得泄露评审文件、评审情况和评审中获悉的国家秘密、商业秘密。</w:t>
      </w:r>
    </w:p>
    <w:p>
      <w:pPr>
        <w:spacing w:line="360" w:lineRule="auto"/>
        <w:ind w:firstLine="437"/>
        <w:outlineLvl w:val="3"/>
        <w:rPr>
          <w:rFonts w:ascii="宋体" w:hAnsi="宋体" w:eastAsia="宋体" w:cs="宋体"/>
          <w:b/>
          <w:sz w:val="24"/>
        </w:rPr>
      </w:pPr>
      <w:r>
        <w:rPr>
          <w:rFonts w:hint="eastAsia" w:ascii="宋体" w:hAnsi="宋体" w:eastAsia="宋体" w:cs="宋体"/>
          <w:b/>
          <w:sz w:val="24"/>
        </w:rPr>
        <w:t>27.成交结果公告</w:t>
      </w:r>
    </w:p>
    <w:p>
      <w:pPr>
        <w:spacing w:line="360" w:lineRule="auto"/>
        <w:ind w:firstLine="435"/>
        <w:rPr>
          <w:rFonts w:ascii="宋体" w:hAnsi="宋体" w:eastAsia="宋体" w:cs="宋体"/>
          <w:sz w:val="24"/>
        </w:rPr>
      </w:pPr>
      <w:r>
        <w:rPr>
          <w:rFonts w:hint="eastAsia" w:ascii="宋体" w:hAnsi="宋体" w:eastAsia="宋体" w:cs="宋体"/>
          <w:sz w:val="24"/>
        </w:rPr>
        <w:t>27.1为体现“公开、公平、公正”的原则，磋商结束后，采购代理机构将在安徽省政府采购网（www.ccgp-anhui.gov.cn）、徽智采平台上发布成交结果公告。</w:t>
      </w:r>
    </w:p>
    <w:p>
      <w:pPr>
        <w:spacing w:line="360" w:lineRule="auto"/>
        <w:ind w:firstLine="435"/>
        <w:rPr>
          <w:rFonts w:ascii="宋体" w:hAnsi="宋体" w:eastAsia="宋体" w:cs="宋体"/>
          <w:sz w:val="24"/>
        </w:rPr>
      </w:pPr>
      <w:r>
        <w:rPr>
          <w:rFonts w:hint="eastAsia" w:ascii="宋体" w:hAnsi="宋体" w:eastAsia="宋体" w:cs="宋体"/>
          <w:sz w:val="24"/>
        </w:rPr>
        <w:t>27.2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sz w:val="24"/>
          <w:u w:val="single"/>
        </w:rPr>
        <w:t>供应商须知前附表</w:t>
      </w:r>
      <w:r>
        <w:rPr>
          <w:rFonts w:hint="eastAsia" w:ascii="宋体" w:hAnsi="宋体" w:eastAsia="宋体" w:cs="宋体"/>
          <w:sz w:val="24"/>
        </w:rPr>
        <w:t>中约定进行公告的内容。</w:t>
      </w:r>
    </w:p>
    <w:p>
      <w:pPr>
        <w:spacing w:line="360" w:lineRule="auto"/>
        <w:ind w:firstLine="437"/>
        <w:outlineLvl w:val="3"/>
        <w:rPr>
          <w:rFonts w:ascii="宋体" w:hAnsi="宋体" w:eastAsia="宋体" w:cs="宋体"/>
          <w:b/>
          <w:sz w:val="24"/>
        </w:rPr>
      </w:pPr>
      <w:r>
        <w:rPr>
          <w:rFonts w:hint="eastAsia" w:ascii="宋体" w:hAnsi="宋体" w:eastAsia="宋体" w:cs="宋体"/>
          <w:b/>
          <w:sz w:val="24"/>
        </w:rPr>
        <w:t>28.成交通知书</w:t>
      </w:r>
    </w:p>
    <w:p>
      <w:pPr>
        <w:spacing w:line="360" w:lineRule="auto"/>
        <w:ind w:firstLine="435"/>
        <w:rPr>
          <w:rFonts w:ascii="宋体" w:hAnsi="宋体" w:eastAsia="宋体"/>
          <w:sz w:val="24"/>
        </w:rPr>
      </w:pPr>
      <w:r>
        <w:rPr>
          <w:rFonts w:hint="eastAsia" w:ascii="宋体" w:hAnsi="宋体" w:eastAsia="宋体" w:cs="宋体"/>
          <w:sz w:val="24"/>
        </w:rPr>
        <w:t>28.1采购代理机构发布成交结果公告的同时以</w:t>
      </w:r>
      <w:r>
        <w:rPr>
          <w:rFonts w:hint="eastAsia" w:ascii="宋体" w:hAnsi="宋体" w:eastAsia="宋体" w:cs="宋体"/>
          <w:sz w:val="24"/>
          <w:u w:val="single"/>
        </w:rPr>
        <w:t>供应商须知前附表</w:t>
      </w:r>
      <w:r>
        <w:rPr>
          <w:rFonts w:hint="eastAsia" w:ascii="宋体" w:hAnsi="宋体" w:eastAsia="宋体" w:cs="宋体"/>
          <w:sz w:val="24"/>
        </w:rPr>
        <w:t>规定的形</w:t>
      </w:r>
      <w:r>
        <w:rPr>
          <w:rFonts w:asciiTheme="minorEastAsia" w:hAnsiTheme="minorEastAsia" w:eastAsiaTheme="minorEastAsia"/>
          <w:sz w:val="24"/>
        </w:rPr>
        <w:t>式</w:t>
      </w:r>
      <w:r>
        <w:rPr>
          <w:rFonts w:ascii="宋体" w:hAnsi="宋体" w:eastAsia="宋体"/>
          <w:sz w:val="24"/>
        </w:rPr>
        <w:t>向成交供应商发出成交通知书。</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.3成交通知书是合同的组成部分。</w:t>
      </w:r>
    </w:p>
    <w:p>
      <w:pPr>
        <w:spacing w:line="360" w:lineRule="auto"/>
        <w:ind w:firstLine="437"/>
        <w:outlineLvl w:val="3"/>
        <w:rPr>
          <w:rFonts w:ascii="宋体" w:hAnsi="宋体" w:eastAsia="宋体"/>
          <w:b/>
          <w:sz w:val="24"/>
        </w:rPr>
      </w:pPr>
      <w:r>
        <w:rPr>
          <w:rFonts w:hint="eastAsia" w:ascii="宋体" w:hAnsi="宋体" w:eastAsia="宋体"/>
          <w:b/>
          <w:sz w:val="24"/>
        </w:rPr>
        <w:t>29</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pPr>
        <w:spacing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9</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pPr>
        <w:spacing w:line="360" w:lineRule="auto"/>
        <w:ind w:firstLine="437"/>
        <w:outlineLvl w:val="3"/>
        <w:rPr>
          <w:rFonts w:ascii="宋体" w:hAnsi="宋体" w:eastAsia="宋体"/>
          <w:b/>
          <w:sz w:val="24"/>
        </w:rPr>
      </w:pPr>
      <w:r>
        <w:rPr>
          <w:rFonts w:hint="eastAsia" w:ascii="宋体" w:hAnsi="宋体" w:eastAsia="宋体"/>
          <w:b/>
          <w:sz w:val="24"/>
        </w:rPr>
        <w:t>30</w:t>
      </w:r>
      <w:r>
        <w:rPr>
          <w:rFonts w:ascii="宋体" w:hAnsi="宋体" w:eastAsia="宋体"/>
          <w:b/>
          <w:sz w:val="24"/>
        </w:rPr>
        <w:t>.履约保证金</w:t>
      </w:r>
    </w:p>
    <w:p>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pPr>
        <w:spacing w:line="360" w:lineRule="auto"/>
        <w:ind w:firstLine="437"/>
        <w:outlineLvl w:val="3"/>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成交服务费</w:t>
      </w:r>
    </w:p>
    <w:p>
      <w:pPr>
        <w:spacing w:line="360" w:lineRule="auto"/>
        <w:ind w:firstLine="435"/>
        <w:rPr>
          <w:rFonts w:ascii="宋体" w:hAnsi="宋体" w:eastAsia="宋体"/>
          <w:sz w:val="24"/>
        </w:rPr>
      </w:pPr>
      <w:r>
        <w:rPr>
          <w:rFonts w:hint="eastAsia" w:ascii="宋体" w:hAnsi="宋体" w:eastAsia="宋体"/>
          <w:sz w:val="24"/>
        </w:rPr>
        <w:t>31</w:t>
      </w:r>
      <w:r>
        <w:rPr>
          <w:rFonts w:ascii="宋体" w:hAnsi="宋体" w:eastAsia="宋体"/>
          <w:sz w:val="24"/>
        </w:rPr>
        <w:t>.1本项目</w:t>
      </w:r>
      <w:r>
        <w:rPr>
          <w:rFonts w:hint="eastAsia" w:ascii="宋体" w:hAnsi="宋体" w:eastAsia="宋体"/>
          <w:sz w:val="24"/>
        </w:rPr>
        <w:t>成交</w:t>
      </w:r>
      <w:r>
        <w:rPr>
          <w:rFonts w:ascii="宋体" w:hAnsi="宋体" w:eastAsia="宋体"/>
          <w:sz w:val="24"/>
        </w:rPr>
        <w:t>服务费的收取按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pPr>
        <w:spacing w:line="360" w:lineRule="auto"/>
        <w:ind w:firstLine="437"/>
        <w:outlineLvl w:val="3"/>
        <w:rPr>
          <w:rFonts w:ascii="宋体" w:hAnsi="宋体" w:eastAsia="宋体"/>
          <w:b/>
          <w:sz w:val="24"/>
        </w:rPr>
      </w:pPr>
      <w:r>
        <w:rPr>
          <w:rFonts w:hint="eastAsia" w:ascii="宋体" w:hAnsi="宋体" w:eastAsia="宋体"/>
          <w:b/>
          <w:sz w:val="24"/>
        </w:rPr>
        <w:t>32</w:t>
      </w:r>
      <w:r>
        <w:rPr>
          <w:rFonts w:ascii="宋体" w:hAnsi="宋体" w:eastAsia="宋体"/>
          <w:b/>
          <w:sz w:val="24"/>
        </w:rPr>
        <w:t>.签订</w:t>
      </w:r>
      <w:r>
        <w:rPr>
          <w:rFonts w:hint="eastAsia" w:ascii="宋体" w:hAnsi="宋体" w:eastAsia="宋体"/>
          <w:b/>
          <w:sz w:val="24"/>
        </w:rPr>
        <w:t>合同</w:t>
      </w:r>
    </w:p>
    <w:p>
      <w:pPr>
        <w:spacing w:line="360"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.1</w:t>
      </w:r>
      <w:r>
        <w:rPr>
          <w:rFonts w:hint="eastAsia" w:ascii="宋体" w:hAnsi="宋体" w:eastAsia="宋体"/>
          <w:sz w:val="24"/>
        </w:rPr>
        <w:t>采购人与</w:t>
      </w:r>
      <w:r>
        <w:rPr>
          <w:rFonts w:ascii="宋体" w:hAnsi="宋体" w:eastAsia="宋体"/>
          <w:sz w:val="24"/>
        </w:rPr>
        <w:t>成交供应商应当自发出成交通知书之日起30日内签订合同。</w:t>
      </w:r>
    </w:p>
    <w:p>
      <w:pPr>
        <w:spacing w:line="360"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.2磋商文件、成交供应商的响应文件及其澄清文件等，均为签订合同的依据。</w:t>
      </w:r>
    </w:p>
    <w:p>
      <w:pPr>
        <w:spacing w:line="360" w:lineRule="auto"/>
        <w:ind w:firstLine="470" w:firstLineChars="196"/>
        <w:rPr>
          <w:rFonts w:ascii="宋体" w:hAnsi="宋体" w:eastAsia="宋体"/>
          <w:sz w:val="24"/>
        </w:rPr>
      </w:pPr>
      <w:r>
        <w:rPr>
          <w:rFonts w:hint="eastAsia" w:ascii="宋体" w:hAnsi="宋体" w:eastAsia="宋体"/>
          <w:sz w:val="24"/>
        </w:rPr>
        <w:t>32</w:t>
      </w:r>
      <w:r>
        <w:rPr>
          <w:rFonts w:ascii="宋体" w:hAnsi="宋体" w:eastAsia="宋体"/>
          <w:sz w:val="24"/>
        </w:rPr>
        <w:t>.3 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3</w:t>
      </w:r>
      <w:r>
        <w:rPr>
          <w:rFonts w:ascii="宋体" w:hAnsi="宋体" w:eastAsia="宋体"/>
          <w:b/>
          <w:sz w:val="24"/>
        </w:rPr>
        <w:t>.廉洁自律规定</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.1采购代理机构工作人员不得以不正当手段获取政府采购代理业务，不得与采购人、供应商恶意串通。</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4</w:t>
      </w:r>
      <w:r>
        <w:rPr>
          <w:rFonts w:ascii="宋体" w:hAnsi="宋体" w:eastAsia="宋体"/>
          <w:b/>
          <w:sz w:val="24"/>
        </w:rPr>
        <w:t>.质疑的提出与接收</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1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.2质疑供应商应按照财政部制定的《政府采购质疑函范本》格式（详见磋商文件第</w:t>
      </w:r>
      <w:r>
        <w:rPr>
          <w:rFonts w:hint="eastAsia" w:ascii="宋体" w:hAnsi="宋体" w:eastAsia="宋体"/>
          <w:sz w:val="24"/>
        </w:rPr>
        <w:t>七</w:t>
      </w:r>
      <w:r>
        <w:rPr>
          <w:rFonts w:ascii="宋体" w:hAnsi="宋体" w:eastAsia="宋体"/>
          <w:sz w:val="24"/>
        </w:rPr>
        <w:t>章）和《政府采购质疑和投诉办法》的要求，在法定质疑期内以</w:t>
      </w:r>
      <w:r>
        <w:rPr>
          <w:rFonts w:hint="eastAsia" w:ascii="宋体" w:hAnsi="宋体" w:eastAsia="宋体"/>
          <w:sz w:val="24"/>
        </w:rPr>
        <w:t>书面</w:t>
      </w:r>
      <w:r>
        <w:rPr>
          <w:rFonts w:ascii="宋体" w:hAnsi="宋体" w:eastAsia="宋体"/>
          <w:sz w:val="24"/>
        </w:rPr>
        <w:t>形式提出质</w:t>
      </w:r>
      <w:r>
        <w:rPr>
          <w:rFonts w:hint="eastAsia" w:ascii="宋体" w:hAnsi="宋体" w:eastAsia="宋体" w:cs="宋体"/>
          <w:sz w:val="24"/>
        </w:rPr>
        <w:t>疑，超出法定质疑期提交的质疑将被拒绝。针对</w:t>
      </w:r>
      <w:r>
        <w:rPr>
          <w:rFonts w:ascii="宋体" w:hAnsi="宋体" w:eastAsia="宋体"/>
          <w:sz w:val="24"/>
        </w:rPr>
        <w:t>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超出法定质疑期的、重复提出的、分次提出的或内容、形式不符合《政府采购质疑和投诉办法》的，质疑供应商将依法承担不利后果。</w:t>
      </w:r>
    </w:p>
    <w:p>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4</w:t>
      </w:r>
      <w:r>
        <w:rPr>
          <w:rFonts w:ascii="宋体" w:hAnsi="宋体" w:eastAsia="宋体"/>
          <w:sz w:val="24"/>
        </w:rPr>
        <w:t>.3</w:t>
      </w:r>
      <w:r>
        <w:rPr>
          <w:rFonts w:hint="eastAsia" w:ascii="宋体" w:hAnsi="宋体" w:eastAsia="宋体"/>
          <w:sz w:val="24"/>
        </w:rPr>
        <w:t>采购代理机构质疑函接收部门、联系电话和通讯地址</w:t>
      </w:r>
      <w:r>
        <w:rPr>
          <w:rFonts w:ascii="宋体" w:hAnsi="宋体" w:eastAsia="宋体"/>
          <w:sz w:val="24"/>
        </w:rPr>
        <w:t>，见</w:t>
      </w:r>
      <w:r>
        <w:rPr>
          <w:rFonts w:ascii="宋体" w:hAnsi="宋体" w:eastAsia="宋体"/>
          <w:sz w:val="24"/>
          <w:u w:val="single"/>
        </w:rPr>
        <w:t>供应商须知前附表</w:t>
      </w:r>
      <w:r>
        <w:rPr>
          <w:rFonts w:ascii="宋体" w:hAnsi="宋体" w:eastAsia="宋体"/>
          <w:sz w:val="24"/>
        </w:rPr>
        <w:t>。</w:t>
      </w:r>
    </w:p>
    <w:p>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5</w:t>
      </w:r>
      <w:r>
        <w:rPr>
          <w:rFonts w:ascii="宋体" w:hAnsi="宋体" w:eastAsia="宋体"/>
          <w:b/>
          <w:sz w:val="24"/>
        </w:rPr>
        <w:t>.需要补充的其他内容</w:t>
      </w:r>
    </w:p>
    <w:p>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8"/>
        </w:rPr>
      </w:pPr>
      <w:bookmarkStart w:id="4" w:name="_Toc19264"/>
      <w:r>
        <w:rPr>
          <w:rFonts w:hint="eastAsia" w:asciiTheme="minorEastAsia" w:hAnsiTheme="minorEastAsia" w:eastAsiaTheme="minorEastAsia"/>
          <w:b/>
          <w:sz w:val="28"/>
        </w:rPr>
        <w:t>第三章  采购需求</w:t>
      </w:r>
      <w:bookmarkEnd w:id="4"/>
    </w:p>
    <w:p>
      <w:pPr>
        <w:spacing w:line="360" w:lineRule="auto"/>
        <w:rPr>
          <w:rFonts w:ascii="宋体" w:hAnsi="宋体" w:eastAsia="宋体"/>
          <w:b/>
          <w:sz w:val="24"/>
          <w:szCs w:val="24"/>
        </w:rPr>
      </w:pPr>
      <w:r>
        <w:rPr>
          <w:rFonts w:hint="eastAsia" w:ascii="宋体" w:hAnsi="宋体" w:eastAsia="宋体"/>
          <w:b/>
          <w:sz w:val="24"/>
          <w:szCs w:val="24"/>
        </w:rPr>
        <w:t>前注：</w:t>
      </w:r>
    </w:p>
    <w:p>
      <w:pPr>
        <w:spacing w:line="360" w:lineRule="auto"/>
        <w:ind w:firstLine="435"/>
        <w:rPr>
          <w:rFonts w:ascii="宋体" w:hAnsi="宋体" w:eastAsia="宋体"/>
          <w:sz w:val="24"/>
          <w:szCs w:val="24"/>
        </w:rPr>
      </w:pPr>
      <w:r>
        <w:rPr>
          <w:rFonts w:ascii="宋体" w:hAnsi="宋体" w:eastAsia="宋体"/>
          <w:sz w:val="24"/>
          <w:szCs w:val="24"/>
        </w:rPr>
        <w:t>本采购需求中提出的服务方案仅为参考，如无明确限制，供应商可以进行优化，提供满足采购人实际需要的更优（或者性能实质上不低于的）服务方案，且此方案须经评标委员会评审认可</w:t>
      </w:r>
      <w:r>
        <w:rPr>
          <w:rFonts w:hint="eastAsia" w:ascii="宋体" w:hAnsi="宋体" w:eastAsia="宋体"/>
          <w:sz w:val="24"/>
          <w:szCs w:val="24"/>
        </w:rPr>
        <w:t>。</w:t>
      </w:r>
    </w:p>
    <w:p>
      <w:pPr>
        <w:spacing w:line="360" w:lineRule="auto"/>
        <w:ind w:firstLine="437"/>
        <w:rPr>
          <w:rFonts w:ascii="宋体" w:hAnsi="宋体" w:eastAsia="宋体"/>
          <w:b/>
          <w:sz w:val="24"/>
          <w:szCs w:val="24"/>
        </w:rPr>
      </w:pPr>
      <w:r>
        <w:rPr>
          <w:rFonts w:hint="eastAsia" w:ascii="宋体" w:hAnsi="宋体" w:eastAsia="宋体"/>
          <w:b/>
          <w:sz w:val="24"/>
          <w:szCs w:val="24"/>
        </w:rPr>
        <w:t>采购需求前附表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26"/>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57"/>
              <w:pBdr>
                <w:bottom w:val="none" w:color="auto" w:sz="0" w:space="0"/>
              </w:pBdr>
              <w:tabs>
                <w:tab w:val="clear" w:pos="4153"/>
                <w:tab w:val="clear" w:pos="8306"/>
              </w:tabs>
              <w:adjustRightInd/>
              <w:spacing w:line="240" w:lineRule="auto"/>
              <w:textAlignment w:val="auto"/>
              <w:rPr>
                <w:rFonts w:ascii="宋体" w:hAnsi="宋体" w:eastAsia="宋体"/>
                <w:b/>
                <w:kern w:val="2"/>
                <w:szCs w:val="24"/>
              </w:rPr>
            </w:pPr>
            <w:r>
              <w:rPr>
                <w:rFonts w:hint="eastAsia" w:ascii="宋体" w:hAnsi="宋体" w:eastAsia="宋体"/>
                <w:b/>
                <w:kern w:val="2"/>
                <w:szCs w:val="24"/>
              </w:rPr>
              <w:t>序号</w:t>
            </w:r>
          </w:p>
        </w:tc>
        <w:tc>
          <w:tcPr>
            <w:tcW w:w="1192" w:type="pct"/>
            <w:vAlign w:val="center"/>
          </w:tcPr>
          <w:p>
            <w:pPr>
              <w:pStyle w:val="56"/>
              <w:widowControl w:val="0"/>
              <w:spacing w:before="0" w:beforeAutospacing="0" w:after="0" w:afterAutospacing="0" w:line="360" w:lineRule="auto"/>
              <w:rPr>
                <w:rFonts w:ascii="宋体" w:hAnsi="宋体" w:eastAsia="宋体"/>
                <w:bCs w:val="0"/>
                <w:sz w:val="24"/>
                <w:szCs w:val="24"/>
              </w:rPr>
            </w:pPr>
            <w:r>
              <w:rPr>
                <w:rFonts w:hint="eastAsia" w:ascii="宋体" w:hAnsi="宋体" w:eastAsia="宋体"/>
                <w:bCs w:val="0"/>
                <w:sz w:val="24"/>
                <w:szCs w:val="24"/>
              </w:rPr>
              <w:t>条款名称</w:t>
            </w:r>
          </w:p>
        </w:tc>
        <w:tc>
          <w:tcPr>
            <w:tcW w:w="3216" w:type="pct"/>
            <w:vAlign w:val="center"/>
          </w:tcPr>
          <w:p>
            <w:pPr>
              <w:pStyle w:val="56"/>
              <w:widowControl w:val="0"/>
              <w:spacing w:before="0" w:beforeAutospacing="0" w:after="0" w:afterAutospacing="0" w:line="360" w:lineRule="auto"/>
              <w:rPr>
                <w:rFonts w:ascii="宋体" w:hAnsi="宋体" w:eastAsia="宋体"/>
                <w:bCs w:val="0"/>
                <w:sz w:val="24"/>
                <w:szCs w:val="24"/>
              </w:rPr>
            </w:pPr>
            <w:r>
              <w:rPr>
                <w:rFonts w:hint="eastAsia" w:ascii="宋体" w:hAnsi="宋体" w:eastAsia="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57"/>
              <w:pBdr>
                <w:bottom w:val="none" w:color="auto" w:sz="0" w:space="0"/>
              </w:pBdr>
              <w:tabs>
                <w:tab w:val="clear" w:pos="4153"/>
                <w:tab w:val="clear" w:pos="8306"/>
              </w:tabs>
              <w:adjustRightInd/>
              <w:spacing w:line="240" w:lineRule="auto"/>
              <w:textAlignment w:val="auto"/>
              <w:rPr>
                <w:rFonts w:ascii="宋体" w:hAnsi="宋体" w:eastAsia="宋体"/>
                <w:bCs/>
                <w:kern w:val="2"/>
                <w:szCs w:val="24"/>
              </w:rPr>
            </w:pPr>
            <w:r>
              <w:rPr>
                <w:rFonts w:hint="eastAsia" w:ascii="宋体" w:hAnsi="宋体" w:eastAsia="宋体"/>
                <w:bCs/>
                <w:kern w:val="2"/>
                <w:szCs w:val="24"/>
              </w:rPr>
              <w:t>1</w:t>
            </w:r>
          </w:p>
        </w:tc>
        <w:tc>
          <w:tcPr>
            <w:tcW w:w="1192" w:type="pct"/>
            <w:vAlign w:val="center"/>
          </w:tcPr>
          <w:p>
            <w:pPr>
              <w:pStyle w:val="56"/>
              <w:widowControl w:val="0"/>
              <w:spacing w:before="0" w:beforeAutospacing="0" w:after="0" w:afterAutospacing="0" w:line="360" w:lineRule="auto"/>
              <w:rPr>
                <w:rFonts w:ascii="宋体" w:hAnsi="宋体" w:eastAsia="宋体"/>
                <w:b w:val="0"/>
                <w:sz w:val="24"/>
                <w:szCs w:val="24"/>
              </w:rPr>
            </w:pPr>
            <w:r>
              <w:rPr>
                <w:rFonts w:hint="eastAsia" w:ascii="宋体" w:hAnsi="宋体" w:eastAsia="宋体"/>
                <w:b w:val="0"/>
                <w:sz w:val="24"/>
                <w:szCs w:val="24"/>
              </w:rPr>
              <w:t>付款方式</w:t>
            </w:r>
          </w:p>
        </w:tc>
        <w:tc>
          <w:tcPr>
            <w:tcW w:w="3216" w:type="pct"/>
            <w:vAlign w:val="center"/>
          </w:tcPr>
          <w:p>
            <w:pPr>
              <w:pStyle w:val="56"/>
              <w:widowControl w:val="0"/>
              <w:spacing w:before="0" w:beforeAutospacing="0" w:after="0" w:afterAutospacing="0" w:line="360" w:lineRule="auto"/>
              <w:jc w:val="both"/>
              <w:rPr>
                <w:rFonts w:ascii="宋体" w:hAnsi="宋体" w:eastAsia="宋体"/>
                <w:b w:val="0"/>
                <w:sz w:val="24"/>
                <w:szCs w:val="24"/>
                <w:u w:val="single"/>
              </w:rPr>
            </w:pPr>
            <w:r>
              <w:rPr>
                <w:rFonts w:hint="eastAsia" w:ascii="宋体" w:hAnsi="宋体" w:eastAsia="宋体"/>
                <w:b w:val="0"/>
                <w:sz w:val="24"/>
                <w:szCs w:val="24"/>
                <w:u w:val="single"/>
              </w:rPr>
              <w:t xml:space="preserve">根据学生人数据实结算，按年支付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57"/>
              <w:pBdr>
                <w:bottom w:val="none" w:color="auto" w:sz="0" w:space="0"/>
              </w:pBdr>
              <w:tabs>
                <w:tab w:val="clear" w:pos="4153"/>
                <w:tab w:val="clear" w:pos="8306"/>
              </w:tabs>
              <w:adjustRightInd/>
              <w:spacing w:line="240" w:lineRule="auto"/>
              <w:textAlignment w:val="auto"/>
              <w:rPr>
                <w:rFonts w:ascii="宋体" w:hAnsi="宋体" w:eastAsia="宋体"/>
                <w:bCs/>
                <w:kern w:val="2"/>
                <w:szCs w:val="24"/>
              </w:rPr>
            </w:pPr>
            <w:r>
              <w:rPr>
                <w:rFonts w:hint="eastAsia" w:ascii="宋体" w:hAnsi="宋体" w:eastAsia="宋体"/>
                <w:bCs/>
                <w:kern w:val="2"/>
                <w:szCs w:val="24"/>
              </w:rPr>
              <w:t>2</w:t>
            </w:r>
          </w:p>
        </w:tc>
        <w:tc>
          <w:tcPr>
            <w:tcW w:w="1192" w:type="pct"/>
            <w:vAlign w:val="center"/>
          </w:tcPr>
          <w:p>
            <w:pPr>
              <w:pStyle w:val="56"/>
              <w:widowControl w:val="0"/>
              <w:spacing w:before="0" w:beforeAutospacing="0" w:after="0" w:afterAutospacing="0" w:line="360" w:lineRule="auto"/>
              <w:rPr>
                <w:rFonts w:ascii="宋体" w:hAnsi="宋体" w:eastAsia="宋体"/>
                <w:b w:val="0"/>
                <w:sz w:val="24"/>
                <w:szCs w:val="24"/>
              </w:rPr>
            </w:pPr>
            <w:r>
              <w:rPr>
                <w:rFonts w:hint="eastAsia" w:ascii="宋体" w:hAnsi="宋体" w:eastAsia="宋体"/>
                <w:b w:val="0"/>
                <w:sz w:val="24"/>
                <w:szCs w:val="24"/>
              </w:rPr>
              <w:t>服务地点</w:t>
            </w:r>
          </w:p>
        </w:tc>
        <w:tc>
          <w:tcPr>
            <w:tcW w:w="3216" w:type="pct"/>
            <w:vAlign w:val="center"/>
          </w:tcPr>
          <w:p>
            <w:pPr>
              <w:pStyle w:val="56"/>
              <w:widowControl w:val="0"/>
              <w:spacing w:before="0" w:beforeAutospacing="0" w:after="0" w:afterAutospacing="0" w:line="360" w:lineRule="auto"/>
              <w:jc w:val="both"/>
              <w:rPr>
                <w:rFonts w:ascii="宋体" w:hAnsi="宋体" w:eastAsia="宋体"/>
                <w:b w:val="0"/>
                <w:sz w:val="24"/>
                <w:szCs w:val="24"/>
              </w:rPr>
            </w:pPr>
            <w:r>
              <w:rPr>
                <w:rFonts w:ascii="宋体" w:hAnsi="宋体" w:eastAsia="宋体"/>
                <w:b w:val="0"/>
                <w:sz w:val="24"/>
                <w:szCs w:val="24"/>
              </w:rPr>
              <w:t>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57"/>
              <w:pBdr>
                <w:bottom w:val="none" w:color="auto" w:sz="0" w:space="0"/>
              </w:pBdr>
              <w:tabs>
                <w:tab w:val="clear" w:pos="4153"/>
                <w:tab w:val="clear" w:pos="8306"/>
              </w:tabs>
              <w:adjustRightInd/>
              <w:spacing w:line="240" w:lineRule="auto"/>
              <w:textAlignment w:val="auto"/>
              <w:rPr>
                <w:rFonts w:ascii="宋体" w:hAnsi="宋体" w:eastAsia="宋体"/>
                <w:bCs/>
                <w:kern w:val="2"/>
                <w:szCs w:val="24"/>
              </w:rPr>
            </w:pPr>
            <w:r>
              <w:rPr>
                <w:rFonts w:hint="eastAsia" w:ascii="宋体" w:hAnsi="宋体" w:eastAsia="宋体"/>
                <w:bCs/>
                <w:kern w:val="2"/>
                <w:szCs w:val="24"/>
              </w:rPr>
              <w:t>3</w:t>
            </w:r>
          </w:p>
        </w:tc>
        <w:tc>
          <w:tcPr>
            <w:tcW w:w="1192" w:type="pct"/>
            <w:vAlign w:val="center"/>
          </w:tcPr>
          <w:p>
            <w:pPr>
              <w:pStyle w:val="56"/>
              <w:widowControl w:val="0"/>
              <w:spacing w:before="0" w:beforeAutospacing="0" w:after="0" w:afterAutospacing="0" w:line="360" w:lineRule="auto"/>
              <w:rPr>
                <w:rFonts w:ascii="宋体" w:hAnsi="宋体" w:eastAsia="宋体"/>
                <w:b w:val="0"/>
                <w:sz w:val="24"/>
                <w:szCs w:val="24"/>
              </w:rPr>
            </w:pPr>
            <w:r>
              <w:rPr>
                <w:rFonts w:hint="eastAsia" w:ascii="宋体" w:hAnsi="宋体" w:eastAsia="宋体"/>
                <w:b w:val="0"/>
                <w:sz w:val="24"/>
                <w:szCs w:val="24"/>
              </w:rPr>
              <w:t>服务期限</w:t>
            </w:r>
          </w:p>
        </w:tc>
        <w:tc>
          <w:tcPr>
            <w:tcW w:w="3216" w:type="pct"/>
            <w:vAlign w:val="center"/>
          </w:tcPr>
          <w:p>
            <w:pPr>
              <w:pStyle w:val="56"/>
              <w:widowControl w:val="0"/>
              <w:spacing w:before="0" w:beforeAutospacing="0" w:after="0" w:afterAutospacing="0" w:line="360" w:lineRule="auto"/>
              <w:jc w:val="both"/>
              <w:rPr>
                <w:rFonts w:ascii="宋体" w:hAnsi="宋体" w:eastAsia="宋体"/>
                <w:b w:val="0"/>
                <w:sz w:val="24"/>
                <w:szCs w:val="24"/>
              </w:rPr>
            </w:pPr>
            <w:r>
              <w:rPr>
                <w:rFonts w:ascii="宋体" w:hAnsi="宋体" w:eastAsia="宋体"/>
                <w:b w:val="0"/>
                <w:sz w:val="24"/>
                <w:szCs w:val="24"/>
                <w:u w:val="single"/>
              </w:rPr>
              <w:t>2年</w:t>
            </w:r>
          </w:p>
        </w:tc>
      </w:tr>
    </w:tbl>
    <w:p>
      <w:pPr>
        <w:spacing w:line="360" w:lineRule="auto"/>
        <w:rPr>
          <w:rFonts w:ascii="宋体" w:hAnsi="宋体" w:eastAsia="宋体"/>
          <w:b/>
          <w:sz w:val="24"/>
          <w:szCs w:val="24"/>
          <w:highlight w:val="yellow"/>
        </w:rPr>
      </w:pPr>
    </w:p>
    <w:p>
      <w:pPr>
        <w:spacing w:line="360" w:lineRule="auto"/>
        <w:rPr>
          <w:rFonts w:ascii="宋体" w:hAnsi="宋体" w:eastAsia="宋体"/>
          <w:b/>
          <w:sz w:val="24"/>
          <w:szCs w:val="24"/>
        </w:rPr>
      </w:pPr>
      <w:r>
        <w:rPr>
          <w:rFonts w:ascii="宋体" w:hAnsi="宋体" w:eastAsia="宋体"/>
          <w:b/>
          <w:sz w:val="24"/>
          <w:szCs w:val="24"/>
        </w:rPr>
        <w:t>一、项目概况</w:t>
      </w:r>
    </w:p>
    <w:p>
      <w:pPr>
        <w:spacing w:line="360" w:lineRule="auto"/>
        <w:ind w:firstLine="480" w:firstLineChars="200"/>
        <w:rPr>
          <w:rFonts w:ascii="宋体" w:hAnsi="宋体" w:eastAsia="宋体"/>
          <w:sz w:val="24"/>
          <w:szCs w:val="24"/>
        </w:rPr>
      </w:pPr>
      <w:r>
        <w:rPr>
          <w:rFonts w:ascii="宋体" w:hAnsi="宋体" w:eastAsia="宋体"/>
          <w:sz w:val="24"/>
          <w:szCs w:val="24"/>
        </w:rPr>
        <w:t>本项目拟招一家供应商为</w:t>
      </w:r>
      <w:r>
        <w:rPr>
          <w:rFonts w:hint="eastAsia" w:ascii="宋体" w:hAnsi="宋体" w:eastAsia="宋体"/>
          <w:sz w:val="24"/>
          <w:szCs w:val="24"/>
        </w:rPr>
        <w:t>采购人计算机应用</w:t>
      </w:r>
      <w:r>
        <w:rPr>
          <w:rFonts w:ascii="宋体" w:hAnsi="宋体" w:eastAsia="宋体"/>
          <w:sz w:val="24"/>
          <w:szCs w:val="24"/>
        </w:rPr>
        <w:t>技术专业</w:t>
      </w:r>
      <w:r>
        <w:rPr>
          <w:rFonts w:hint="eastAsia" w:ascii="宋体" w:hAnsi="宋体" w:eastAsia="宋体"/>
          <w:sz w:val="24"/>
          <w:szCs w:val="24"/>
        </w:rPr>
        <w:t>2</w:t>
      </w:r>
      <w:r>
        <w:rPr>
          <w:rFonts w:ascii="宋体" w:hAnsi="宋体" w:eastAsia="宋体"/>
          <w:sz w:val="24"/>
          <w:szCs w:val="24"/>
        </w:rPr>
        <w:t>018</w:t>
      </w:r>
      <w:r>
        <w:rPr>
          <w:rFonts w:hint="eastAsia" w:ascii="宋体" w:hAnsi="宋体" w:eastAsia="宋体"/>
          <w:sz w:val="24"/>
          <w:szCs w:val="24"/>
        </w:rPr>
        <w:t>级（大三，共计1</w:t>
      </w:r>
      <w:r>
        <w:rPr>
          <w:rFonts w:ascii="宋体" w:hAnsi="宋体" w:eastAsia="宋体"/>
          <w:sz w:val="24"/>
          <w:szCs w:val="24"/>
        </w:rPr>
        <w:t>58人</w:t>
      </w:r>
      <w:r>
        <w:rPr>
          <w:rFonts w:hint="eastAsia" w:ascii="宋体" w:hAnsi="宋体" w:eastAsia="宋体"/>
          <w:sz w:val="24"/>
          <w:szCs w:val="24"/>
        </w:rPr>
        <w:t>）</w:t>
      </w:r>
      <w:r>
        <w:rPr>
          <w:rFonts w:ascii="宋体" w:hAnsi="宋体" w:eastAsia="宋体"/>
          <w:sz w:val="24"/>
          <w:szCs w:val="24"/>
        </w:rPr>
        <w:t>和2019级</w:t>
      </w:r>
      <w:r>
        <w:rPr>
          <w:rFonts w:hint="eastAsia" w:ascii="宋体" w:hAnsi="宋体" w:eastAsia="宋体"/>
          <w:sz w:val="24"/>
          <w:szCs w:val="24"/>
        </w:rPr>
        <w:t>（大二、大三各1</w:t>
      </w:r>
      <w:r>
        <w:rPr>
          <w:rFonts w:ascii="宋体" w:hAnsi="宋体" w:eastAsia="宋体"/>
          <w:sz w:val="24"/>
          <w:szCs w:val="24"/>
        </w:rPr>
        <w:t>39人</w:t>
      </w:r>
      <w:r>
        <w:rPr>
          <w:rFonts w:hint="eastAsia" w:ascii="宋体" w:hAnsi="宋体" w:eastAsia="宋体"/>
          <w:sz w:val="24"/>
          <w:szCs w:val="24"/>
        </w:rPr>
        <w:t>）</w:t>
      </w:r>
      <w:r>
        <w:rPr>
          <w:rFonts w:ascii="宋体" w:hAnsi="宋体" w:eastAsia="宋体"/>
          <w:sz w:val="24"/>
          <w:szCs w:val="24"/>
        </w:rPr>
        <w:t>在籍学生提供教育服务，主要包括：</w:t>
      </w:r>
      <w:r>
        <w:rPr>
          <w:rFonts w:hint="eastAsia" w:ascii="宋体" w:hAnsi="宋体" w:eastAsia="宋体"/>
          <w:sz w:val="24"/>
          <w:szCs w:val="24"/>
        </w:rPr>
        <w:t>教学管理服务、教学队伍建设与培训服务、学工管理服务、就业安置服务等</w:t>
      </w:r>
      <w:r>
        <w:rPr>
          <w:rFonts w:ascii="宋体" w:hAnsi="宋体" w:eastAsia="宋体"/>
          <w:sz w:val="24"/>
          <w:szCs w:val="24"/>
        </w:rPr>
        <w:t>。</w:t>
      </w:r>
    </w:p>
    <w:p>
      <w:pPr>
        <w:spacing w:line="360" w:lineRule="auto"/>
        <w:rPr>
          <w:rFonts w:ascii="宋体" w:hAnsi="宋体" w:eastAsia="宋体"/>
          <w:b/>
          <w:sz w:val="24"/>
          <w:szCs w:val="24"/>
        </w:rPr>
      </w:pPr>
      <w:r>
        <w:rPr>
          <w:rFonts w:ascii="宋体" w:hAnsi="宋体" w:eastAsia="宋体"/>
          <w:b/>
          <w:sz w:val="24"/>
          <w:szCs w:val="24"/>
        </w:rPr>
        <w:t>二、服务需求</w:t>
      </w:r>
    </w:p>
    <w:p>
      <w:pPr>
        <w:spacing w:line="360" w:lineRule="auto"/>
        <w:rPr>
          <w:rFonts w:ascii="宋体" w:hAnsi="宋体" w:eastAsia="宋体"/>
          <w:sz w:val="24"/>
          <w:szCs w:val="24"/>
        </w:rPr>
      </w:pPr>
      <w:r>
        <w:rPr>
          <w:rFonts w:ascii="宋体" w:hAnsi="宋体" w:eastAsia="宋体"/>
          <w:sz w:val="24"/>
          <w:szCs w:val="24"/>
        </w:rPr>
        <w:t>（一）教学</w:t>
      </w:r>
      <w:r>
        <w:rPr>
          <w:rFonts w:hint="eastAsia" w:ascii="宋体" w:hAnsi="宋体" w:eastAsia="宋体"/>
          <w:sz w:val="24"/>
          <w:szCs w:val="24"/>
        </w:rPr>
        <w:t>管理服务</w:t>
      </w:r>
    </w:p>
    <w:p>
      <w:pPr>
        <w:pStyle w:val="80"/>
        <w:snapToGrid w:val="0"/>
        <w:spacing w:line="360" w:lineRule="auto"/>
        <w:ind w:firstLine="480" w:firstLineChars="200"/>
        <w:rPr>
          <w:rFonts w:hAnsi="宋体" w:cs="Times New Roman"/>
          <w:color w:val="auto"/>
        </w:rPr>
      </w:pPr>
      <w:r>
        <w:rPr>
          <w:rFonts w:hAnsi="宋体" w:cs="Times New Roman"/>
          <w:color w:val="auto"/>
        </w:rPr>
        <w:t>1、</w:t>
      </w:r>
      <w:r>
        <w:rPr>
          <w:rFonts w:hint="eastAsia" w:hAnsi="宋体" w:cs="Times New Roman"/>
        </w:rPr>
        <w:t>计算机应用技术</w:t>
      </w:r>
      <w:r>
        <w:rPr>
          <w:rFonts w:hAnsi="宋体" w:cs="Times New Roman"/>
          <w:color w:val="auto"/>
        </w:rPr>
        <w:t>专业课教学数量：共计8个班，合计2192+4400=6592课时</w:t>
      </w:r>
      <w:r>
        <w:rPr>
          <w:rFonts w:hint="eastAsia" w:hAnsi="宋体" w:cs="Times New Roman"/>
          <w:color w:val="auto"/>
        </w:rPr>
        <w:t>，</w:t>
      </w:r>
      <w:r>
        <w:rPr>
          <w:rFonts w:hAnsi="宋体" w:cs="Times New Roman"/>
          <w:color w:val="auto"/>
        </w:rPr>
        <w:t>具体见相关课程一览表</w:t>
      </w:r>
      <w:r>
        <w:rPr>
          <w:rFonts w:hint="eastAsia" w:hAnsi="宋体" w:cs="Times New Roman"/>
          <w:color w:val="auto"/>
        </w:rPr>
        <w:t>。</w:t>
      </w:r>
    </w:p>
    <w:p>
      <w:pPr>
        <w:pStyle w:val="80"/>
        <w:snapToGrid w:val="0"/>
        <w:spacing w:line="360" w:lineRule="auto"/>
        <w:ind w:firstLine="420"/>
        <w:rPr>
          <w:rFonts w:hAnsi="宋体" w:cs="Times New Roman"/>
        </w:rPr>
      </w:pPr>
      <w:r>
        <w:rPr>
          <w:rFonts w:hAnsi="宋体" w:cs="Times New Roman"/>
        </w:rPr>
        <w:t>（1）2018级</w:t>
      </w:r>
      <w:r>
        <w:rPr>
          <w:rFonts w:hint="eastAsia" w:hAnsi="宋体" w:cs="Times New Roman"/>
        </w:rPr>
        <w:t>计算机应用技术</w:t>
      </w:r>
      <w:r>
        <w:rPr>
          <w:rFonts w:hAnsi="宋体" w:cs="Times New Roman"/>
        </w:rPr>
        <w:t>专业（4个班级）：548*4=2192学时</w:t>
      </w:r>
    </w:p>
    <w:tbl>
      <w:tblPr>
        <w:tblStyle w:val="25"/>
        <w:tblW w:w="5000" w:type="pct"/>
        <w:jc w:val="center"/>
        <w:tblLayout w:type="fixed"/>
        <w:tblCellMar>
          <w:top w:w="0" w:type="dxa"/>
          <w:left w:w="108" w:type="dxa"/>
          <w:bottom w:w="0" w:type="dxa"/>
          <w:right w:w="108" w:type="dxa"/>
        </w:tblCellMar>
      </w:tblPr>
      <w:tblGrid>
        <w:gridCol w:w="577"/>
        <w:gridCol w:w="447"/>
        <w:gridCol w:w="3483"/>
        <w:gridCol w:w="725"/>
        <w:gridCol w:w="725"/>
        <w:gridCol w:w="871"/>
        <w:gridCol w:w="868"/>
        <w:gridCol w:w="798"/>
      </w:tblGrid>
      <w:tr>
        <w:tblPrEx>
          <w:tblCellMar>
            <w:top w:w="0" w:type="dxa"/>
            <w:left w:w="108" w:type="dxa"/>
            <w:bottom w:w="0" w:type="dxa"/>
            <w:right w:w="108" w:type="dxa"/>
          </w:tblCellMar>
        </w:tblPrEx>
        <w:trPr>
          <w:trHeight w:val="416" w:hRule="atLeast"/>
          <w:jc w:val="center"/>
        </w:trPr>
        <w:tc>
          <w:tcPr>
            <w:tcW w:w="5000" w:type="pct"/>
            <w:gridSpan w:val="8"/>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ascii="宋体" w:hAnsi="宋体" w:eastAsia="宋体"/>
                <w:sz w:val="24"/>
                <w:szCs w:val="24"/>
              </w:rPr>
              <w:t>2018级</w:t>
            </w:r>
            <w:r>
              <w:rPr>
                <w:rFonts w:hint="eastAsia" w:ascii="宋体" w:hAnsi="宋体" w:eastAsia="宋体"/>
                <w:sz w:val="24"/>
                <w:szCs w:val="24"/>
              </w:rPr>
              <w:t>计算机应用技术</w:t>
            </w:r>
            <w:r>
              <w:rPr>
                <w:rFonts w:ascii="宋体" w:hAnsi="宋体" w:eastAsia="宋体"/>
                <w:sz w:val="24"/>
                <w:szCs w:val="24"/>
              </w:rPr>
              <w:t>专业</w:t>
            </w:r>
            <w:r>
              <w:rPr>
                <w:rFonts w:hint="eastAsia" w:ascii="宋体" w:hAnsi="宋体" w:eastAsia="宋体"/>
                <w:sz w:val="24"/>
                <w:szCs w:val="24"/>
              </w:rPr>
              <w:t>（大三）</w:t>
            </w:r>
            <w:r>
              <w:rPr>
                <w:rFonts w:ascii="宋体" w:hAnsi="宋体" w:eastAsia="宋体"/>
                <w:sz w:val="24"/>
                <w:szCs w:val="24"/>
              </w:rPr>
              <w:t>相关课程一览表</w:t>
            </w:r>
          </w:p>
        </w:tc>
      </w:tr>
      <w:tr>
        <w:tblPrEx>
          <w:tblCellMar>
            <w:top w:w="0" w:type="dxa"/>
            <w:left w:w="108" w:type="dxa"/>
            <w:bottom w:w="0" w:type="dxa"/>
            <w:right w:w="108" w:type="dxa"/>
          </w:tblCellMar>
        </w:tblPrEx>
        <w:trPr>
          <w:trHeight w:val="324" w:hRule="atLeast"/>
          <w:jc w:val="center"/>
        </w:trPr>
        <w:tc>
          <w:tcPr>
            <w:tcW w:w="339"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63" w:type="pct"/>
            <w:vMerge w:val="restart"/>
            <w:tcBorders>
              <w:top w:val="single" w:color="auto" w:sz="4" w:space="0"/>
              <w:left w:val="nil"/>
              <w:right w:val="single" w:color="auto" w:sz="4" w:space="0"/>
            </w:tcBorders>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2050"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课程名称</w:t>
            </w:r>
          </w:p>
        </w:tc>
        <w:tc>
          <w:tcPr>
            <w:tcW w:w="13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学时分配</w:t>
            </w:r>
          </w:p>
        </w:tc>
        <w:tc>
          <w:tcPr>
            <w:tcW w:w="982"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第三学年</w:t>
            </w:r>
          </w:p>
        </w:tc>
      </w:tr>
      <w:tr>
        <w:tblPrEx>
          <w:tblCellMar>
            <w:top w:w="0" w:type="dxa"/>
            <w:left w:w="108" w:type="dxa"/>
            <w:bottom w:w="0" w:type="dxa"/>
            <w:right w:w="108" w:type="dxa"/>
          </w:tblCellMar>
        </w:tblPrEx>
        <w:trPr>
          <w:trHeight w:val="324" w:hRule="atLeast"/>
          <w:jc w:val="center"/>
        </w:trPr>
        <w:tc>
          <w:tcPr>
            <w:tcW w:w="33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63"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p>
        </w:tc>
        <w:tc>
          <w:tcPr>
            <w:tcW w:w="2050"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理论课时</w:t>
            </w:r>
          </w:p>
        </w:tc>
        <w:tc>
          <w:tcPr>
            <w:tcW w:w="4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实践课时</w:t>
            </w:r>
          </w:p>
        </w:tc>
        <w:tc>
          <w:tcPr>
            <w:tcW w:w="5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总课时</w:t>
            </w:r>
          </w:p>
        </w:tc>
        <w:tc>
          <w:tcPr>
            <w:tcW w:w="5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第五学期</w:t>
            </w:r>
          </w:p>
        </w:tc>
        <w:tc>
          <w:tcPr>
            <w:tcW w:w="47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第六学期</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3" w:type="pct"/>
            <w:vMerge w:val="restart"/>
            <w:tcBorders>
              <w:top w:val="single" w:color="auto" w:sz="4" w:space="0"/>
              <w:left w:val="nil"/>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专业课</w:t>
            </w: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《EntityFramework数据持久化》</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11" w:type="pct"/>
            <w:vMerge w:val="restart"/>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周</w:t>
            </w:r>
          </w:p>
        </w:tc>
        <w:tc>
          <w:tcPr>
            <w:tcW w:w="471" w:type="pct"/>
            <w:vMerge w:val="restart"/>
            <w:tcBorders>
              <w:top w:val="nil"/>
              <w:left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周</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《ASP.NET MVC企业级程序设计》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《Vue.js高效前端开发》</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《.NET微服务应用开发》</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3" w:type="pct"/>
            <w:vMerge w:val="continue"/>
            <w:tcBorders>
              <w:left w:val="nil"/>
              <w:right w:val="single" w:color="auto" w:sz="4" w:space="0"/>
            </w:tcBorders>
            <w:vAlign w:val="center"/>
          </w:tcPr>
          <w:p>
            <w:pPr>
              <w:widowControl/>
              <w:jc w:val="left"/>
              <w:rPr>
                <w:rFonts w:ascii="宋体" w:hAnsi="宋体" w:eastAsia="宋体" w:cs="宋体"/>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《软件工程》</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《Python程序设计基础》</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《大学生职业规划发展之路》</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3" w:type="pct"/>
            <w:vMerge w:val="continue"/>
            <w:tcBorders>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综合实训</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00</w:t>
            </w:r>
          </w:p>
        </w:tc>
        <w:tc>
          <w:tcPr>
            <w:tcW w:w="511"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1"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265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r>
              <w:rPr>
                <w:rFonts w:ascii="宋体" w:hAnsi="宋体" w:eastAsia="宋体" w:cs="宋体"/>
                <w:b/>
                <w:bCs/>
                <w:kern w:val="0"/>
                <w:sz w:val="24"/>
                <w:szCs w:val="24"/>
              </w:rPr>
              <w:t>2</w:t>
            </w:r>
            <w:r>
              <w:rPr>
                <w:rFonts w:hint="eastAsia" w:ascii="宋体" w:hAnsi="宋体" w:eastAsia="宋体" w:cs="宋体"/>
                <w:b/>
                <w:bCs/>
                <w:kern w:val="0"/>
                <w:sz w:val="24"/>
                <w:szCs w:val="24"/>
              </w:rPr>
              <w:t>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32</w:t>
            </w:r>
            <w:r>
              <w:rPr>
                <w:rFonts w:hint="eastAsia" w:ascii="宋体" w:hAnsi="宋体" w:eastAsia="宋体" w:cs="宋体"/>
                <w:b/>
                <w:bCs/>
                <w:kern w:val="0"/>
                <w:sz w:val="24"/>
                <w:szCs w:val="24"/>
              </w:rPr>
              <w:t>4</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color w:val="FF0000"/>
                <w:kern w:val="0"/>
                <w:sz w:val="24"/>
                <w:szCs w:val="24"/>
              </w:rPr>
              <w:t>5</w:t>
            </w:r>
            <w:r>
              <w:rPr>
                <w:rFonts w:hint="eastAsia" w:ascii="宋体" w:hAnsi="宋体" w:eastAsia="宋体" w:cs="宋体"/>
                <w:b/>
                <w:bCs/>
                <w:color w:val="FF0000"/>
                <w:kern w:val="0"/>
                <w:sz w:val="24"/>
                <w:szCs w:val="24"/>
              </w:rPr>
              <w:t>48</w:t>
            </w:r>
          </w:p>
        </w:tc>
        <w:tc>
          <w:tcPr>
            <w:tcW w:w="5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471"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pStyle w:val="80"/>
        <w:snapToGrid w:val="0"/>
        <w:spacing w:line="360" w:lineRule="auto"/>
        <w:rPr>
          <w:rFonts w:hAnsi="宋体" w:cs="Times New Roman"/>
        </w:rPr>
      </w:pPr>
    </w:p>
    <w:p>
      <w:pPr>
        <w:pStyle w:val="80"/>
        <w:snapToGrid w:val="0"/>
        <w:spacing w:line="360" w:lineRule="auto"/>
        <w:ind w:firstLine="420"/>
        <w:rPr>
          <w:rFonts w:hAnsi="宋体" w:cs="Times New Roman"/>
        </w:rPr>
      </w:pPr>
      <w:r>
        <w:rPr>
          <w:rFonts w:hAnsi="宋体" w:cs="Times New Roman"/>
        </w:rPr>
        <w:t>（2）2019级</w:t>
      </w:r>
      <w:r>
        <w:rPr>
          <w:rFonts w:hint="eastAsia" w:hAnsi="宋体" w:cs="Times New Roman"/>
        </w:rPr>
        <w:t>计算机应用技术</w:t>
      </w:r>
      <w:r>
        <w:rPr>
          <w:rFonts w:hAnsi="宋体" w:cs="Times New Roman"/>
        </w:rPr>
        <w:t>专业（4个班级）：</w:t>
      </w:r>
      <w:r>
        <w:rPr>
          <w:rFonts w:hint="eastAsia" w:hAnsi="宋体" w:cs="Times New Roman"/>
        </w:rPr>
        <w:t>（</w:t>
      </w:r>
      <w:r>
        <w:rPr>
          <w:rFonts w:hAnsi="宋体" w:cs="Times New Roman"/>
        </w:rPr>
        <w:t>552</w:t>
      </w:r>
      <w:r>
        <w:rPr>
          <w:rFonts w:hint="eastAsia" w:hAnsi="宋体" w:cs="Times New Roman"/>
        </w:rPr>
        <w:t>+</w:t>
      </w:r>
      <w:r>
        <w:rPr>
          <w:rFonts w:hAnsi="宋体" w:cs="Times New Roman"/>
        </w:rPr>
        <w:t>548</w:t>
      </w:r>
      <w:r>
        <w:rPr>
          <w:rFonts w:hint="eastAsia" w:hAnsi="宋体" w:cs="Times New Roman"/>
        </w:rPr>
        <w:t>）</w:t>
      </w:r>
      <w:r>
        <w:rPr>
          <w:rFonts w:hAnsi="宋体" w:cs="Times New Roman"/>
        </w:rPr>
        <w:t>*4=4400学时</w:t>
      </w:r>
    </w:p>
    <w:tbl>
      <w:tblPr>
        <w:tblStyle w:val="25"/>
        <w:tblW w:w="5000" w:type="pct"/>
        <w:jc w:val="center"/>
        <w:tblLayout w:type="fixed"/>
        <w:tblCellMar>
          <w:top w:w="0" w:type="dxa"/>
          <w:left w:w="108" w:type="dxa"/>
          <w:bottom w:w="0" w:type="dxa"/>
          <w:right w:w="108" w:type="dxa"/>
        </w:tblCellMar>
      </w:tblPr>
      <w:tblGrid>
        <w:gridCol w:w="576"/>
        <w:gridCol w:w="457"/>
        <w:gridCol w:w="3485"/>
        <w:gridCol w:w="725"/>
        <w:gridCol w:w="725"/>
        <w:gridCol w:w="871"/>
        <w:gridCol w:w="868"/>
        <w:gridCol w:w="787"/>
      </w:tblGrid>
      <w:tr>
        <w:tblPrEx>
          <w:tblCellMar>
            <w:top w:w="0" w:type="dxa"/>
            <w:left w:w="108" w:type="dxa"/>
            <w:bottom w:w="0" w:type="dxa"/>
            <w:right w:w="108" w:type="dxa"/>
          </w:tblCellMar>
        </w:tblPrEx>
        <w:trPr>
          <w:trHeight w:val="416" w:hRule="atLeast"/>
          <w:jc w:val="center"/>
        </w:trPr>
        <w:tc>
          <w:tcPr>
            <w:tcW w:w="5000" w:type="pct"/>
            <w:gridSpan w:val="8"/>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b/>
                <w:bCs/>
                <w:sz w:val="24"/>
                <w:szCs w:val="24"/>
              </w:rPr>
            </w:pPr>
            <w:r>
              <w:rPr>
                <w:rFonts w:ascii="宋体" w:hAnsi="宋体" w:eastAsia="宋体"/>
                <w:b/>
                <w:bCs/>
                <w:sz w:val="24"/>
                <w:szCs w:val="24"/>
              </w:rPr>
              <w:t>2019级</w:t>
            </w:r>
            <w:r>
              <w:rPr>
                <w:rFonts w:hint="eastAsia" w:ascii="宋体" w:hAnsi="宋体" w:eastAsia="宋体"/>
                <w:b/>
                <w:bCs/>
                <w:sz w:val="24"/>
                <w:szCs w:val="24"/>
              </w:rPr>
              <w:t>计算机应用技术</w:t>
            </w:r>
            <w:r>
              <w:rPr>
                <w:rFonts w:ascii="宋体" w:hAnsi="宋体" w:eastAsia="宋体"/>
                <w:b/>
                <w:bCs/>
                <w:sz w:val="24"/>
                <w:szCs w:val="24"/>
              </w:rPr>
              <w:t>专业</w:t>
            </w:r>
            <w:r>
              <w:rPr>
                <w:rFonts w:hint="eastAsia" w:ascii="宋体" w:hAnsi="宋体" w:eastAsia="宋体"/>
                <w:b/>
                <w:bCs/>
                <w:sz w:val="24"/>
                <w:szCs w:val="24"/>
              </w:rPr>
              <w:t>（大二）</w:t>
            </w:r>
            <w:r>
              <w:rPr>
                <w:rFonts w:ascii="宋体" w:hAnsi="宋体" w:eastAsia="宋体"/>
                <w:b/>
                <w:bCs/>
                <w:sz w:val="24"/>
                <w:szCs w:val="24"/>
              </w:rPr>
              <w:t>相关课程一览表</w:t>
            </w:r>
          </w:p>
        </w:tc>
      </w:tr>
      <w:tr>
        <w:tblPrEx>
          <w:tblCellMar>
            <w:top w:w="0" w:type="dxa"/>
            <w:left w:w="108" w:type="dxa"/>
            <w:bottom w:w="0" w:type="dxa"/>
            <w:right w:w="108" w:type="dxa"/>
          </w:tblCellMar>
        </w:tblPrEx>
        <w:trPr>
          <w:trHeight w:val="324" w:hRule="atLeast"/>
          <w:jc w:val="center"/>
        </w:trPr>
        <w:tc>
          <w:tcPr>
            <w:tcW w:w="339"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69" w:type="pct"/>
            <w:vMerge w:val="restart"/>
            <w:tcBorders>
              <w:top w:val="single" w:color="auto" w:sz="4" w:space="0"/>
              <w:left w:val="nil"/>
              <w:right w:val="single" w:color="auto" w:sz="4" w:space="0"/>
            </w:tcBorders>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2050"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课程名称</w:t>
            </w:r>
          </w:p>
        </w:tc>
        <w:tc>
          <w:tcPr>
            <w:tcW w:w="13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学时分配</w:t>
            </w:r>
          </w:p>
        </w:tc>
        <w:tc>
          <w:tcPr>
            <w:tcW w:w="9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第二学年</w:t>
            </w:r>
          </w:p>
        </w:tc>
      </w:tr>
      <w:tr>
        <w:tblPrEx>
          <w:tblCellMar>
            <w:top w:w="0" w:type="dxa"/>
            <w:left w:w="108" w:type="dxa"/>
            <w:bottom w:w="0" w:type="dxa"/>
            <w:right w:w="108" w:type="dxa"/>
          </w:tblCellMar>
        </w:tblPrEx>
        <w:trPr>
          <w:trHeight w:val="324" w:hRule="atLeast"/>
          <w:jc w:val="center"/>
        </w:trPr>
        <w:tc>
          <w:tcPr>
            <w:tcW w:w="33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69"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p>
        </w:tc>
        <w:tc>
          <w:tcPr>
            <w:tcW w:w="2050"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理论课时</w:t>
            </w:r>
          </w:p>
        </w:tc>
        <w:tc>
          <w:tcPr>
            <w:tcW w:w="4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实践课时</w:t>
            </w:r>
          </w:p>
        </w:tc>
        <w:tc>
          <w:tcPr>
            <w:tcW w:w="5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总课时</w:t>
            </w:r>
          </w:p>
        </w:tc>
        <w:tc>
          <w:tcPr>
            <w:tcW w:w="5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第三学期</w:t>
            </w:r>
          </w:p>
        </w:tc>
        <w:tc>
          <w:tcPr>
            <w:tcW w:w="464"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第四学期</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9" w:type="pct"/>
            <w:vMerge w:val="restart"/>
            <w:tcBorders>
              <w:top w:val="single" w:color="auto" w:sz="4" w:space="0"/>
              <w:left w:val="nil"/>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专业课</w:t>
            </w: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sz w:val="24"/>
                <w:szCs w:val="24"/>
              </w:rPr>
              <w:t>《SQL Server高级查询与T-SQL编程》</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40</w:t>
            </w:r>
          </w:p>
        </w:tc>
        <w:tc>
          <w:tcPr>
            <w:tcW w:w="511" w:type="pct"/>
            <w:vMerge w:val="restart"/>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16</w:t>
            </w:r>
            <w:r>
              <w:rPr>
                <w:rFonts w:hint="eastAsia" w:ascii="宋体" w:hAnsi="宋体" w:eastAsia="宋体" w:cs="宋体"/>
                <w:color w:val="000000"/>
                <w:kern w:val="0"/>
                <w:sz w:val="24"/>
                <w:szCs w:val="24"/>
              </w:rPr>
              <w:t>周</w:t>
            </w:r>
          </w:p>
        </w:tc>
        <w:tc>
          <w:tcPr>
            <w:tcW w:w="464" w:type="pct"/>
            <w:vMerge w:val="restart"/>
            <w:tcBorders>
              <w:top w:val="nil"/>
              <w:left w:val="nil"/>
              <w:right w:val="single" w:color="auto" w:sz="4" w:space="0"/>
            </w:tcBorders>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16</w:t>
            </w:r>
            <w:r>
              <w:rPr>
                <w:rFonts w:hint="eastAsia" w:ascii="宋体" w:hAnsi="宋体" w:eastAsia="宋体" w:cs="宋体"/>
                <w:color w:val="000000"/>
                <w:kern w:val="0"/>
                <w:sz w:val="24"/>
                <w:szCs w:val="24"/>
              </w:rPr>
              <w:t>周</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9"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sz w:val="24"/>
                <w:szCs w:val="24"/>
              </w:rPr>
              <w:t>《C#面向对象程序设计》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36</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52</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9"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sz w:val="24"/>
                <w:szCs w:val="24"/>
              </w:rPr>
              <w:t>《HTML5响应式网页设计》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32</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48</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9"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sz w:val="24"/>
                <w:szCs w:val="24"/>
              </w:rPr>
              <w:t>《JavaScript交互式网页设计》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32</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48</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9" w:type="pct"/>
            <w:vMerge w:val="continue"/>
            <w:tcBorders>
              <w:left w:val="nil"/>
              <w:right w:val="single" w:color="auto" w:sz="4" w:space="0"/>
            </w:tcBorders>
            <w:vAlign w:val="center"/>
          </w:tcPr>
          <w:p>
            <w:pPr>
              <w:widowControl/>
              <w:jc w:val="left"/>
              <w:rPr>
                <w:rFonts w:ascii="宋体" w:hAnsi="宋体" w:eastAsia="宋体" w:cs="宋体"/>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sz w:val="24"/>
                <w:szCs w:val="24"/>
              </w:rPr>
              <w:t>《ASP.NET Web程序设计》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36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76</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9"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sz w:val="24"/>
                <w:szCs w:val="24"/>
              </w:rPr>
              <w:t>《HTML5高级程序设计》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32</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48</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9"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《大学生职业规划发展之路》</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sz w:val="24"/>
                <w:szCs w:val="24"/>
              </w:rPr>
              <w:t>40</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9" w:type="pct"/>
            <w:vMerge w:val="continue"/>
            <w:tcBorders>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项目实训</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00</w:t>
            </w:r>
          </w:p>
        </w:tc>
        <w:tc>
          <w:tcPr>
            <w:tcW w:w="511"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64"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265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256</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296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color w:val="FF0000"/>
                <w:kern w:val="0"/>
                <w:sz w:val="24"/>
                <w:szCs w:val="24"/>
              </w:rPr>
              <w:t>552</w:t>
            </w:r>
          </w:p>
        </w:tc>
        <w:tc>
          <w:tcPr>
            <w:tcW w:w="5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464"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pStyle w:val="80"/>
        <w:snapToGrid w:val="0"/>
        <w:spacing w:line="360" w:lineRule="auto"/>
        <w:rPr>
          <w:rFonts w:hAnsi="宋体" w:cs="Times New Roman"/>
        </w:rPr>
      </w:pPr>
    </w:p>
    <w:tbl>
      <w:tblPr>
        <w:tblStyle w:val="25"/>
        <w:tblW w:w="5000" w:type="pct"/>
        <w:jc w:val="center"/>
        <w:tblLayout w:type="fixed"/>
        <w:tblCellMar>
          <w:top w:w="0" w:type="dxa"/>
          <w:left w:w="108" w:type="dxa"/>
          <w:bottom w:w="0" w:type="dxa"/>
          <w:right w:w="108" w:type="dxa"/>
        </w:tblCellMar>
      </w:tblPr>
      <w:tblGrid>
        <w:gridCol w:w="577"/>
        <w:gridCol w:w="447"/>
        <w:gridCol w:w="3483"/>
        <w:gridCol w:w="725"/>
        <w:gridCol w:w="725"/>
        <w:gridCol w:w="871"/>
        <w:gridCol w:w="868"/>
        <w:gridCol w:w="798"/>
      </w:tblGrid>
      <w:tr>
        <w:tblPrEx>
          <w:tblCellMar>
            <w:top w:w="0" w:type="dxa"/>
            <w:left w:w="108" w:type="dxa"/>
            <w:bottom w:w="0" w:type="dxa"/>
            <w:right w:w="108" w:type="dxa"/>
          </w:tblCellMar>
        </w:tblPrEx>
        <w:trPr>
          <w:trHeight w:val="416" w:hRule="atLeast"/>
          <w:jc w:val="center"/>
        </w:trPr>
        <w:tc>
          <w:tcPr>
            <w:tcW w:w="5000" w:type="pct"/>
            <w:gridSpan w:val="8"/>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b/>
                <w:bCs/>
                <w:sz w:val="24"/>
                <w:szCs w:val="24"/>
              </w:rPr>
            </w:pPr>
            <w:r>
              <w:rPr>
                <w:rFonts w:ascii="宋体" w:hAnsi="宋体" w:eastAsia="宋体"/>
                <w:b/>
                <w:bCs/>
                <w:sz w:val="24"/>
                <w:szCs w:val="24"/>
              </w:rPr>
              <w:t>2019级</w:t>
            </w:r>
            <w:r>
              <w:rPr>
                <w:rFonts w:hint="eastAsia" w:ascii="宋体" w:hAnsi="宋体" w:eastAsia="宋体"/>
                <w:b/>
                <w:bCs/>
                <w:sz w:val="24"/>
                <w:szCs w:val="24"/>
              </w:rPr>
              <w:t>计算机应用技术</w:t>
            </w:r>
            <w:r>
              <w:rPr>
                <w:rFonts w:ascii="宋体" w:hAnsi="宋体" w:eastAsia="宋体"/>
                <w:b/>
                <w:bCs/>
                <w:sz w:val="24"/>
                <w:szCs w:val="24"/>
              </w:rPr>
              <w:t>专业</w:t>
            </w:r>
            <w:r>
              <w:rPr>
                <w:rFonts w:hint="eastAsia" w:ascii="宋体" w:hAnsi="宋体" w:eastAsia="宋体"/>
                <w:b/>
                <w:bCs/>
                <w:sz w:val="24"/>
                <w:szCs w:val="24"/>
              </w:rPr>
              <w:t>（大三）</w:t>
            </w:r>
            <w:r>
              <w:rPr>
                <w:rFonts w:ascii="宋体" w:hAnsi="宋体" w:eastAsia="宋体"/>
                <w:b/>
                <w:bCs/>
                <w:sz w:val="24"/>
                <w:szCs w:val="24"/>
              </w:rPr>
              <w:t>相关课程一览表</w:t>
            </w:r>
          </w:p>
        </w:tc>
      </w:tr>
      <w:tr>
        <w:tblPrEx>
          <w:tblCellMar>
            <w:top w:w="0" w:type="dxa"/>
            <w:left w:w="108" w:type="dxa"/>
            <w:bottom w:w="0" w:type="dxa"/>
            <w:right w:w="108" w:type="dxa"/>
          </w:tblCellMar>
        </w:tblPrEx>
        <w:trPr>
          <w:trHeight w:val="324" w:hRule="atLeast"/>
          <w:jc w:val="center"/>
        </w:trPr>
        <w:tc>
          <w:tcPr>
            <w:tcW w:w="339"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63" w:type="pct"/>
            <w:vMerge w:val="restart"/>
            <w:tcBorders>
              <w:top w:val="single" w:color="auto" w:sz="4" w:space="0"/>
              <w:left w:val="nil"/>
              <w:right w:val="single" w:color="auto" w:sz="4" w:space="0"/>
            </w:tcBorders>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2050" w:type="pct"/>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课程名称</w:t>
            </w:r>
          </w:p>
        </w:tc>
        <w:tc>
          <w:tcPr>
            <w:tcW w:w="13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学时分配</w:t>
            </w:r>
          </w:p>
        </w:tc>
        <w:tc>
          <w:tcPr>
            <w:tcW w:w="981"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第三学年</w:t>
            </w:r>
          </w:p>
        </w:tc>
      </w:tr>
      <w:tr>
        <w:tblPrEx>
          <w:tblCellMar>
            <w:top w:w="0" w:type="dxa"/>
            <w:left w:w="108" w:type="dxa"/>
            <w:bottom w:w="0" w:type="dxa"/>
            <w:right w:w="108" w:type="dxa"/>
          </w:tblCellMar>
        </w:tblPrEx>
        <w:trPr>
          <w:trHeight w:val="324" w:hRule="atLeast"/>
          <w:jc w:val="center"/>
        </w:trPr>
        <w:tc>
          <w:tcPr>
            <w:tcW w:w="339"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263"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p>
        </w:tc>
        <w:tc>
          <w:tcPr>
            <w:tcW w:w="2050"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p>
        </w:tc>
        <w:tc>
          <w:tcPr>
            <w:tcW w:w="4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理论课时</w:t>
            </w:r>
          </w:p>
        </w:tc>
        <w:tc>
          <w:tcPr>
            <w:tcW w:w="4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实践课时</w:t>
            </w:r>
          </w:p>
        </w:tc>
        <w:tc>
          <w:tcPr>
            <w:tcW w:w="5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总课时</w:t>
            </w:r>
          </w:p>
        </w:tc>
        <w:tc>
          <w:tcPr>
            <w:tcW w:w="5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第五学期</w:t>
            </w:r>
          </w:p>
        </w:tc>
        <w:tc>
          <w:tcPr>
            <w:tcW w:w="470"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第六学期</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3" w:type="pct"/>
            <w:vMerge w:val="restart"/>
            <w:tcBorders>
              <w:top w:val="single" w:color="auto" w:sz="4" w:space="0"/>
              <w:left w:val="nil"/>
              <w:right w:val="single" w:color="auto"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专业课</w:t>
            </w: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《EntityFramework数据持久化》</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11" w:type="pct"/>
            <w:vMerge w:val="restart"/>
            <w:tcBorders>
              <w:top w:val="nil"/>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周</w:t>
            </w:r>
          </w:p>
        </w:tc>
        <w:tc>
          <w:tcPr>
            <w:tcW w:w="470" w:type="pct"/>
            <w:vMerge w:val="restart"/>
            <w:tcBorders>
              <w:top w:val="nil"/>
              <w:left w:val="nil"/>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周</w:t>
            </w: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《ASP.NET MVC企业级程序设计》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《Vue.js高效前端开发》</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《.NET微服务应用开发》</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3" w:type="pct"/>
            <w:vMerge w:val="continue"/>
            <w:tcBorders>
              <w:left w:val="nil"/>
              <w:right w:val="single" w:color="auto" w:sz="4" w:space="0"/>
            </w:tcBorders>
            <w:vAlign w:val="center"/>
          </w:tcPr>
          <w:p>
            <w:pPr>
              <w:widowControl/>
              <w:jc w:val="left"/>
              <w:rPr>
                <w:rFonts w:ascii="宋体" w:hAnsi="宋体" w:eastAsia="宋体" w:cs="宋体"/>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《软件工程》</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《Python程序设计基础》</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3" w:type="pct"/>
            <w:vMerge w:val="continue"/>
            <w:tcBorders>
              <w:left w:val="nil"/>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《大学生职业规划发展之路》</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11" w:type="pct"/>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63" w:hRule="atLeast"/>
          <w:jc w:val="center"/>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3" w:type="pct"/>
            <w:vMerge w:val="continue"/>
            <w:tcBorders>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050"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项目实训</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20</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00</w:t>
            </w:r>
          </w:p>
        </w:tc>
        <w:tc>
          <w:tcPr>
            <w:tcW w:w="511"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470" w:type="pct"/>
            <w:vMerge w:val="continue"/>
            <w:tcBorders>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12" w:hRule="atLeast"/>
          <w:jc w:val="center"/>
        </w:trPr>
        <w:tc>
          <w:tcPr>
            <w:tcW w:w="265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4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w:t>
            </w:r>
            <w:r>
              <w:rPr>
                <w:rFonts w:ascii="宋体" w:hAnsi="宋体" w:eastAsia="宋体" w:cs="宋体"/>
                <w:b/>
                <w:bCs/>
                <w:kern w:val="0"/>
                <w:sz w:val="24"/>
                <w:szCs w:val="24"/>
              </w:rPr>
              <w:t>2</w:t>
            </w:r>
            <w:r>
              <w:rPr>
                <w:rFonts w:hint="eastAsia" w:ascii="宋体" w:hAnsi="宋体" w:eastAsia="宋体" w:cs="宋体"/>
                <w:b/>
                <w:bCs/>
                <w:kern w:val="0"/>
                <w:sz w:val="24"/>
                <w:szCs w:val="24"/>
              </w:rPr>
              <w:t>4</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32</w:t>
            </w:r>
            <w:r>
              <w:rPr>
                <w:rFonts w:hint="eastAsia" w:ascii="宋体" w:hAnsi="宋体" w:eastAsia="宋体" w:cs="宋体"/>
                <w:b/>
                <w:bCs/>
                <w:kern w:val="0"/>
                <w:sz w:val="24"/>
                <w:szCs w:val="24"/>
              </w:rPr>
              <w:t>4</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ascii="宋体" w:hAnsi="宋体" w:eastAsia="宋体" w:cs="宋体"/>
                <w:b/>
                <w:bCs/>
                <w:color w:val="FF0000"/>
                <w:kern w:val="0"/>
                <w:sz w:val="24"/>
                <w:szCs w:val="24"/>
              </w:rPr>
              <w:t>5</w:t>
            </w:r>
            <w:r>
              <w:rPr>
                <w:rFonts w:hint="eastAsia" w:ascii="宋体" w:hAnsi="宋体" w:eastAsia="宋体" w:cs="宋体"/>
                <w:b/>
                <w:bCs/>
                <w:color w:val="FF0000"/>
                <w:kern w:val="0"/>
                <w:sz w:val="24"/>
                <w:szCs w:val="24"/>
              </w:rPr>
              <w:t>48</w:t>
            </w:r>
          </w:p>
        </w:tc>
        <w:tc>
          <w:tcPr>
            <w:tcW w:w="5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470"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p>
        </w:tc>
      </w:tr>
    </w:tbl>
    <w:p>
      <w:pPr>
        <w:pStyle w:val="80"/>
        <w:snapToGrid w:val="0"/>
        <w:spacing w:line="360" w:lineRule="auto"/>
        <w:ind w:firstLine="480" w:firstLineChars="200"/>
        <w:rPr>
          <w:rFonts w:hAnsi="宋体" w:cs="Times New Roman"/>
          <w:color w:val="auto"/>
        </w:rPr>
      </w:pPr>
      <w:r>
        <w:rPr>
          <w:rFonts w:hint="eastAsia" w:hAnsi="宋体" w:cs="Times New Roman"/>
          <w:color w:val="auto"/>
        </w:rPr>
        <w:t>2</w:t>
      </w:r>
      <w:r>
        <w:rPr>
          <w:rFonts w:hAnsi="宋体" w:cs="Times New Roman"/>
          <w:color w:val="auto"/>
        </w:rPr>
        <w:t>、课程教学服务要求</w:t>
      </w:r>
    </w:p>
    <w:p>
      <w:pPr>
        <w:pStyle w:val="80"/>
        <w:snapToGrid w:val="0"/>
        <w:spacing w:line="360" w:lineRule="auto"/>
        <w:rPr>
          <w:rFonts w:hAnsi="宋体" w:cs="Times New Roman"/>
          <w:color w:val="auto"/>
        </w:rPr>
      </w:pPr>
      <w:r>
        <w:rPr>
          <w:rFonts w:hAnsi="宋体" w:cs="Times New Roman"/>
          <w:color w:val="auto"/>
        </w:rPr>
        <w:t>(1)聘用学校教师承担课程教学任务，需向二级学院申请，并报教务处审批；</w:t>
      </w:r>
    </w:p>
    <w:p>
      <w:pPr>
        <w:pStyle w:val="80"/>
        <w:snapToGrid w:val="0"/>
        <w:spacing w:line="360" w:lineRule="auto"/>
        <w:rPr>
          <w:rFonts w:hAnsi="宋体" w:cs="Times New Roman"/>
          <w:color w:val="auto"/>
        </w:rPr>
      </w:pPr>
      <w:r>
        <w:rPr>
          <w:rFonts w:hAnsi="宋体" w:cs="Times New Roman"/>
          <w:color w:val="auto"/>
        </w:rPr>
        <w:t>(2)所授课程以自然班为单位计算教学课时数量，原则上不得合班上课，如需合班的，需向二级学院申请，并报教务处及分管校领导审批</w:t>
      </w:r>
      <w:r>
        <w:rPr>
          <w:rFonts w:hint="eastAsia" w:hAnsi="宋体" w:cs="Times New Roman"/>
          <w:color w:val="auto"/>
        </w:rPr>
        <w:t>；</w:t>
      </w:r>
    </w:p>
    <w:p>
      <w:pPr>
        <w:pStyle w:val="80"/>
        <w:snapToGrid w:val="0"/>
        <w:spacing w:line="360" w:lineRule="auto"/>
        <w:rPr>
          <w:rFonts w:hAnsi="宋体" w:cs="Times New Roman"/>
          <w:color w:val="auto"/>
        </w:rPr>
      </w:pPr>
      <w:r>
        <w:rPr>
          <w:rFonts w:hint="eastAsia" w:hAnsi="宋体" w:cs="Times New Roman"/>
          <w:color w:val="auto"/>
        </w:rPr>
        <w:t>(</w:t>
      </w:r>
      <w:r>
        <w:rPr>
          <w:rFonts w:hAnsi="宋体" w:cs="Times New Roman"/>
          <w:color w:val="auto"/>
        </w:rPr>
        <w:t xml:space="preserve">3) </w:t>
      </w:r>
      <w:r>
        <w:rPr>
          <w:rFonts w:hint="eastAsia" w:hAnsi="宋体" w:cs="Times New Roman"/>
          <w:color w:val="auto"/>
        </w:rPr>
        <w:t>构建教学标准化体系：根据职业教育人才培养方案和高职院校学生特点，建立教学等岗位的工作标准化体系。要求：必须具备学术主管、讲师&amp;项目经理工作标准化体系；岗位工作职责不少于6个，每个职责对应不少于3个事件、总事件不少于35个；</w:t>
      </w:r>
      <w:r>
        <w:rPr>
          <w:rFonts w:hAnsi="宋体" w:cs="Times New Roman"/>
          <w:color w:val="auto"/>
        </w:rPr>
        <w:t xml:space="preserve"> </w:t>
      </w:r>
    </w:p>
    <w:p>
      <w:pPr>
        <w:pStyle w:val="80"/>
        <w:snapToGrid w:val="0"/>
        <w:spacing w:line="360" w:lineRule="auto"/>
        <w:rPr>
          <w:rFonts w:hAnsi="宋体" w:cs="Times New Roman"/>
          <w:color w:val="auto"/>
        </w:rPr>
      </w:pPr>
      <w:r>
        <w:rPr>
          <w:rFonts w:hint="eastAsia" w:hAnsi="宋体" w:cs="Times New Roman"/>
          <w:color w:val="auto"/>
        </w:rPr>
        <w:t>(</w:t>
      </w:r>
      <w:r>
        <w:rPr>
          <w:rFonts w:hAnsi="宋体" w:cs="Times New Roman"/>
          <w:color w:val="auto"/>
        </w:rPr>
        <w:t xml:space="preserve">4) </w:t>
      </w:r>
      <w:r>
        <w:rPr>
          <w:rFonts w:hint="eastAsia" w:hAnsi="宋体" w:cs="Times New Roman"/>
          <w:color w:val="auto"/>
        </w:rPr>
        <w:t>根据高职院校人才培养特点及高职院校教学模式进行融合，设计适用于高职院校教学管理的先进教学模式，开发实际教学场景及配套的教学平台。要求：授课模式必须结合MOOC、直播、面授等三种模式；学生可在任何时间、任何地点、任何终端进行MOOC学习；</w:t>
      </w:r>
      <w:r>
        <w:rPr>
          <w:rFonts w:hAnsi="宋体" w:cs="Times New Roman"/>
          <w:color w:val="auto"/>
        </w:rPr>
        <w:t xml:space="preserve"> </w:t>
      </w:r>
    </w:p>
    <w:p>
      <w:pPr>
        <w:pStyle w:val="80"/>
        <w:snapToGrid w:val="0"/>
        <w:spacing w:line="360" w:lineRule="auto"/>
        <w:rPr>
          <w:rFonts w:hAnsi="宋体" w:cs="Times New Roman"/>
          <w:color w:val="auto"/>
        </w:rPr>
      </w:pPr>
      <w:r>
        <w:rPr>
          <w:rFonts w:hint="eastAsia" w:hAnsi="宋体" w:cs="Times New Roman"/>
          <w:color w:val="auto"/>
        </w:rPr>
        <w:t>(</w:t>
      </w:r>
      <w:r>
        <w:rPr>
          <w:rFonts w:hAnsi="宋体" w:cs="Times New Roman"/>
          <w:color w:val="auto"/>
        </w:rPr>
        <w:t xml:space="preserve">5) </w:t>
      </w:r>
      <w:r>
        <w:rPr>
          <w:rFonts w:hint="eastAsia" w:hAnsi="宋体" w:cs="Times New Roman"/>
          <w:color w:val="auto"/>
        </w:rPr>
        <w:t>根据对教学过程记录的工作要求，建立科学的教学数据统计库；培养高职院校国家级竞赛人才，学生参加技能大赛获奖比例达到60%以上，获得国家级竞赛二等奖及以上奖项一项。</w:t>
      </w:r>
    </w:p>
    <w:p>
      <w:pPr>
        <w:pStyle w:val="2"/>
        <w:adjustRightInd w:val="0"/>
        <w:snapToGrid w:val="0"/>
        <w:spacing w:line="360" w:lineRule="auto"/>
        <w:rPr>
          <w:rFonts w:ascii="宋体" w:hAnsi="宋体" w:eastAsia="宋体" w:cs="Times New Roman"/>
          <w:sz w:val="24"/>
        </w:rPr>
      </w:pPr>
      <w:r>
        <w:rPr>
          <w:rFonts w:ascii="宋体" w:hAnsi="宋体" w:eastAsia="宋体" w:cs="Times New Roman"/>
          <w:sz w:val="24"/>
        </w:rPr>
        <w:t>（二）</w:t>
      </w:r>
      <w:r>
        <w:rPr>
          <w:rFonts w:hint="eastAsia" w:ascii="宋体" w:hAnsi="宋体" w:eastAsia="宋体" w:cs="Times New Roman"/>
          <w:sz w:val="24"/>
        </w:rPr>
        <w:t>教学队伍建设与培训服务</w:t>
      </w:r>
    </w:p>
    <w:p>
      <w:pPr>
        <w:pStyle w:val="80"/>
        <w:snapToGrid w:val="0"/>
        <w:spacing w:line="360" w:lineRule="auto"/>
        <w:rPr>
          <w:rFonts w:hAnsi="宋体" w:cs="Times New Roman"/>
          <w:color w:val="auto"/>
        </w:rPr>
      </w:pPr>
      <w:r>
        <w:rPr>
          <w:rFonts w:hAnsi="宋体" w:cs="Times New Roman"/>
          <w:color w:val="auto"/>
        </w:rPr>
        <w:t>(1) 遵守宪法和法律，热爱教育事业，遵守《新时代高校教师职业行为十项准则》；</w:t>
      </w:r>
    </w:p>
    <w:p>
      <w:pPr>
        <w:pStyle w:val="80"/>
        <w:snapToGrid w:val="0"/>
        <w:spacing w:line="360" w:lineRule="auto"/>
        <w:rPr>
          <w:rFonts w:hAnsi="宋体" w:cs="Times New Roman"/>
          <w:color w:val="auto"/>
        </w:rPr>
      </w:pPr>
      <w:r>
        <w:rPr>
          <w:rFonts w:hAnsi="宋体" w:cs="Times New Roman"/>
          <w:color w:val="auto"/>
        </w:rPr>
        <w:t xml:space="preserve">(2) </w:t>
      </w:r>
      <w:r>
        <w:rPr>
          <w:rFonts w:hint="eastAsia" w:hAnsi="宋体" w:cs="Times New Roman"/>
          <w:color w:val="auto"/>
        </w:rPr>
        <w:t>教学团队配置：按2个班1个专业教师的标准配备优秀师资团队驻场，每个班级人数不超过40人。要求：全日制本科以上学历、3年以上工作经验、具备教师资格证或软考中级及以上证书；</w:t>
      </w:r>
      <w:r>
        <w:rPr>
          <w:rFonts w:hAnsi="宋体" w:cs="Times New Roman"/>
          <w:color w:val="auto"/>
        </w:rPr>
        <w:t xml:space="preserve"> </w:t>
      </w:r>
    </w:p>
    <w:p>
      <w:pPr>
        <w:pStyle w:val="80"/>
        <w:snapToGrid w:val="0"/>
        <w:spacing w:line="360" w:lineRule="auto"/>
        <w:rPr>
          <w:rFonts w:hAnsi="宋体" w:cs="Times New Roman"/>
          <w:color w:val="auto"/>
        </w:rPr>
      </w:pPr>
      <w:r>
        <w:rPr>
          <w:rFonts w:hAnsi="宋体" w:cs="Times New Roman"/>
          <w:color w:val="auto"/>
        </w:rPr>
        <w:t xml:space="preserve">(3) </w:t>
      </w:r>
      <w:r>
        <w:rPr>
          <w:rFonts w:hint="eastAsia" w:hAnsi="宋体" w:cs="Times New Roman"/>
          <w:color w:val="auto"/>
        </w:rPr>
        <w:t>师资培训服务：全力协助高校推进双师型师资团队建设，突出项目实践的优势，协助学校培养一批能上好理论课、能带企业级项目实习、能带技能大赛的双师型教师团队，每年免费安排2名校内专业教师参加企业合格项目培训认证，并优先安排通过认证的校内专业教师参与合作专业的教学活动。</w:t>
      </w:r>
    </w:p>
    <w:p>
      <w:pPr>
        <w:pStyle w:val="80"/>
        <w:snapToGrid w:val="0"/>
        <w:spacing w:line="360" w:lineRule="auto"/>
        <w:rPr>
          <w:rFonts w:hAnsi="宋体" w:cs="Times New Roman"/>
          <w:color w:val="auto"/>
        </w:rPr>
      </w:pPr>
      <w:r>
        <w:rPr>
          <w:rFonts w:hAnsi="宋体" w:cs="Times New Roman"/>
          <w:color w:val="auto"/>
        </w:rPr>
        <w:t>（</w:t>
      </w:r>
      <w:r>
        <w:rPr>
          <w:rFonts w:hint="eastAsia" w:hAnsi="宋体" w:cs="Times New Roman"/>
          <w:color w:val="auto"/>
        </w:rPr>
        <w:t>三</w:t>
      </w:r>
      <w:r>
        <w:rPr>
          <w:rFonts w:hAnsi="宋体" w:cs="Times New Roman"/>
          <w:color w:val="auto"/>
        </w:rPr>
        <w:t>）</w:t>
      </w:r>
      <w:r>
        <w:rPr>
          <w:rFonts w:hint="eastAsia" w:hAnsi="宋体" w:cs="Times New Roman"/>
          <w:color w:val="auto"/>
        </w:rPr>
        <w:t>学工管理服务</w:t>
      </w:r>
    </w:p>
    <w:p>
      <w:pPr>
        <w:pStyle w:val="80"/>
        <w:snapToGrid w:val="0"/>
        <w:spacing w:line="360" w:lineRule="auto"/>
        <w:rPr>
          <w:rFonts w:hAnsi="宋体" w:cs="Times New Roman"/>
          <w:color w:val="auto"/>
        </w:rPr>
      </w:pPr>
      <w:r>
        <w:rPr>
          <w:rFonts w:hint="eastAsia" w:hAnsi="宋体" w:cs="Times New Roman"/>
          <w:color w:val="auto"/>
        </w:rPr>
        <w:t>1、制订学生管理工作岗位的标准化体系。要求：至少提供学工副主任、班主任、学生干部等岗位工作标准化手册；工作标准化手册里必须有岗位对应的工作职责、每个职责要有岗位需要完成的工作事件、每个事件要有对应的工作执行步骤、每个步骤要有对应的工作规范和工作标准；岗位工作职责不少于5个，工作事件不少于30个，对应事件不少于2个；</w:t>
      </w:r>
      <w:r>
        <w:rPr>
          <w:rFonts w:hAnsi="宋体" w:cs="Times New Roman"/>
          <w:color w:val="auto"/>
        </w:rPr>
        <w:t xml:space="preserve"> </w:t>
      </w:r>
    </w:p>
    <w:p>
      <w:pPr>
        <w:pStyle w:val="80"/>
        <w:snapToGrid w:val="0"/>
        <w:spacing w:line="360" w:lineRule="auto"/>
        <w:rPr>
          <w:rFonts w:hAnsi="宋体" w:cs="Times New Roman"/>
          <w:color w:val="auto"/>
        </w:rPr>
      </w:pPr>
      <w:r>
        <w:rPr>
          <w:rFonts w:hint="eastAsia" w:hAnsi="宋体" w:cs="Times New Roman"/>
          <w:color w:val="auto"/>
        </w:rPr>
        <w:t>2、建设学生素质培养理论体系课程，编制针对高职院校学生心理健康教育、学生素质提升课程及学生授课课件。要求：教材均有独立出版发行刊号；课程必须是注明针对高职院校学生素质提升的课程，必须由国家教育部直属高校出版社出版发行；</w:t>
      </w:r>
      <w:r>
        <w:rPr>
          <w:rFonts w:hAnsi="宋体" w:cs="Times New Roman"/>
          <w:color w:val="auto"/>
        </w:rPr>
        <w:t xml:space="preserve"> </w:t>
      </w:r>
    </w:p>
    <w:p>
      <w:pPr>
        <w:pStyle w:val="80"/>
        <w:snapToGrid w:val="0"/>
        <w:spacing w:line="360" w:lineRule="auto"/>
        <w:rPr>
          <w:rFonts w:hAnsi="宋体" w:cs="Times New Roman"/>
          <w:color w:val="auto"/>
        </w:rPr>
      </w:pPr>
      <w:r>
        <w:rPr>
          <w:rFonts w:hint="eastAsia" w:hAnsi="宋体" w:cs="Times New Roman"/>
          <w:color w:val="auto"/>
        </w:rPr>
        <w:t>3、开展学生综合素质提升活动，制定并执行针对高职院校学生的素质提升活动实施计划。学生专业类活动必须不少于5大类型，必须包含打字比赛、PPT大赛、HTML大赛、c#知识竞赛、项目发布；社会公益志愿者活动能以班为单位开展；</w:t>
      </w:r>
    </w:p>
    <w:p>
      <w:pPr>
        <w:pStyle w:val="80"/>
        <w:snapToGrid w:val="0"/>
        <w:spacing w:line="360" w:lineRule="auto"/>
        <w:rPr>
          <w:rFonts w:hAnsi="宋体" w:cs="Times New Roman"/>
          <w:color w:val="auto"/>
        </w:rPr>
      </w:pPr>
      <w:r>
        <w:rPr>
          <w:rFonts w:hint="eastAsia" w:hAnsi="宋体" w:cs="Times New Roman"/>
          <w:color w:val="auto"/>
        </w:rPr>
        <w:t>4、学生综合素质培养：针对高职院校的学生管理培养理念，以专业为单位建立学生组织，实现学生自我管理过程。要求：帮助高职院校学生建立个人成长目标，以活动的形式帮助每名学生建立明确的个人成长目标；进行班委建设提升；</w:t>
      </w:r>
      <w:r>
        <w:rPr>
          <w:rFonts w:hAnsi="宋体" w:cs="Times New Roman"/>
          <w:color w:val="auto"/>
        </w:rPr>
        <w:t xml:space="preserve"> </w:t>
      </w:r>
    </w:p>
    <w:p>
      <w:pPr>
        <w:pStyle w:val="80"/>
        <w:snapToGrid w:val="0"/>
        <w:spacing w:line="360" w:lineRule="auto"/>
        <w:rPr>
          <w:rFonts w:hAnsi="宋体" w:cs="Times New Roman"/>
          <w:color w:val="auto"/>
        </w:rPr>
      </w:pPr>
      <w:r>
        <w:rPr>
          <w:rFonts w:hint="eastAsia" w:hAnsi="宋体" w:cs="Times New Roman"/>
          <w:color w:val="auto"/>
        </w:rPr>
        <w:t>5、学生管理规范：针对高职院校学生管理工作进行规范执行，配备完整的学生管理工作报表，实现学生管理全过程规范化的量化管理；</w:t>
      </w:r>
    </w:p>
    <w:p>
      <w:pPr>
        <w:pStyle w:val="80"/>
        <w:snapToGrid w:val="0"/>
        <w:spacing w:line="360" w:lineRule="auto"/>
        <w:rPr>
          <w:rFonts w:hAnsi="宋体" w:cs="Times New Roman"/>
          <w:color w:val="auto"/>
        </w:rPr>
      </w:pPr>
      <w:r>
        <w:rPr>
          <w:rFonts w:hint="eastAsia" w:hAnsi="宋体" w:cs="Times New Roman"/>
          <w:color w:val="auto"/>
        </w:rPr>
        <w:t>6、专职班主任：按学生比例配置驻场，每个班要有一名专职班主任，每个专职班主任最多管理2个班级；要求全日制本科以上学历、3年以上工作经验、具备教师资格证。</w:t>
      </w:r>
    </w:p>
    <w:p>
      <w:pPr>
        <w:pStyle w:val="80"/>
        <w:snapToGrid w:val="0"/>
        <w:spacing w:line="360" w:lineRule="auto"/>
        <w:rPr>
          <w:rFonts w:hAnsi="宋体" w:cs="Times New Roman"/>
          <w:color w:val="auto"/>
        </w:rPr>
      </w:pPr>
      <w:r>
        <w:rPr>
          <w:rFonts w:hAnsi="宋体" w:cs="Times New Roman"/>
          <w:color w:val="auto"/>
        </w:rPr>
        <w:t>（</w:t>
      </w:r>
      <w:r>
        <w:rPr>
          <w:rFonts w:hint="eastAsia" w:hAnsi="宋体" w:cs="Times New Roman"/>
          <w:color w:val="auto"/>
        </w:rPr>
        <w:t>四</w:t>
      </w:r>
      <w:r>
        <w:rPr>
          <w:rFonts w:hAnsi="宋体" w:cs="Times New Roman"/>
          <w:color w:val="auto"/>
        </w:rPr>
        <w:t>）</w:t>
      </w:r>
      <w:r>
        <w:rPr>
          <w:rFonts w:hint="eastAsia" w:hAnsi="宋体" w:cs="Times New Roman"/>
          <w:color w:val="auto"/>
        </w:rPr>
        <w:t>就业安置服务</w:t>
      </w:r>
    </w:p>
    <w:p>
      <w:pPr>
        <w:pStyle w:val="80"/>
        <w:snapToGrid w:val="0"/>
        <w:spacing w:line="360" w:lineRule="auto"/>
        <w:ind w:firstLine="480" w:firstLineChars="200"/>
        <w:rPr>
          <w:rFonts w:hAnsi="宋体" w:cs="Times New Roman"/>
          <w:color w:val="auto"/>
        </w:rPr>
      </w:pPr>
      <w:r>
        <w:rPr>
          <w:rFonts w:hAnsi="宋体" w:cs="Times New Roman"/>
          <w:color w:val="auto"/>
        </w:rPr>
        <w:t>1、顶岗实习须严格遵守学校《职业学校学生实习管理规定》；</w:t>
      </w:r>
    </w:p>
    <w:p>
      <w:pPr>
        <w:pStyle w:val="80"/>
        <w:snapToGrid w:val="0"/>
        <w:spacing w:line="360" w:lineRule="auto"/>
        <w:ind w:firstLine="480" w:firstLineChars="200"/>
        <w:rPr>
          <w:rFonts w:hAnsi="宋体" w:cs="Times New Roman"/>
          <w:color w:val="auto"/>
        </w:rPr>
      </w:pPr>
      <w:r>
        <w:rPr>
          <w:rFonts w:hAnsi="宋体" w:cs="Times New Roman"/>
          <w:color w:val="auto"/>
        </w:rPr>
        <w:t>2、为学生提供多方位、多层次的实习岗位及指导工作，实习安排实行双向选择，不得违反学生意愿强行安排；</w:t>
      </w:r>
    </w:p>
    <w:p>
      <w:pPr>
        <w:pStyle w:val="80"/>
        <w:snapToGrid w:val="0"/>
        <w:spacing w:line="360" w:lineRule="auto"/>
        <w:ind w:firstLine="480" w:firstLineChars="200"/>
        <w:rPr>
          <w:rFonts w:hAnsi="宋体" w:cs="Times New Roman"/>
          <w:color w:val="auto"/>
        </w:rPr>
      </w:pPr>
      <w:r>
        <w:rPr>
          <w:rFonts w:hAnsi="宋体" w:cs="Times New Roman"/>
          <w:color w:val="auto"/>
        </w:rPr>
        <w:t>3、在向学生推荐顶岗实习岗位时须据实向学生清楚说明实习单位相关情况及具体待遇等学生关心的相关事项，不得隐瞒；</w:t>
      </w:r>
    </w:p>
    <w:p>
      <w:pPr>
        <w:pStyle w:val="80"/>
        <w:snapToGrid w:val="0"/>
        <w:spacing w:line="360" w:lineRule="auto"/>
        <w:ind w:firstLine="480" w:firstLineChars="200"/>
        <w:rPr>
          <w:rFonts w:hAnsi="宋体" w:cs="Times New Roman"/>
          <w:color w:val="auto"/>
        </w:rPr>
      </w:pPr>
      <w:r>
        <w:rPr>
          <w:rFonts w:hAnsi="宋体" w:cs="Times New Roman"/>
          <w:color w:val="auto"/>
        </w:rPr>
        <w:t>4、指定相应教师做跟踪指导，负责学生的安全保障及实习指导工作，并根据学院要求提交相关顶岗实习材料；</w:t>
      </w:r>
    </w:p>
    <w:p>
      <w:pPr>
        <w:pStyle w:val="80"/>
        <w:snapToGrid w:val="0"/>
        <w:spacing w:line="360" w:lineRule="auto"/>
        <w:ind w:firstLine="480" w:firstLineChars="200"/>
        <w:rPr>
          <w:rFonts w:hAnsi="宋体" w:cs="Times New Roman"/>
          <w:color w:val="auto"/>
        </w:rPr>
      </w:pPr>
      <w:r>
        <w:rPr>
          <w:rFonts w:hint="eastAsia" w:hAnsi="宋体" w:cs="Times New Roman"/>
          <w:color w:val="auto"/>
        </w:rPr>
        <w:t>5、就业标准化管理体系：制定就业安置等岗位的工作标准化体系，并汇编成册形成《就业标准化手册》；要求：至少有就业指导老师、就业老师等岗位的工作标准化手册；岗位工作职责不少于6个，每个职责必须对应不少于3个具体事件，每个事件对应的步骤不少于3个；</w:t>
      </w:r>
      <w:r>
        <w:rPr>
          <w:rFonts w:hAnsi="宋体" w:cs="Times New Roman"/>
          <w:color w:val="auto"/>
        </w:rPr>
        <w:t xml:space="preserve"> </w:t>
      </w:r>
    </w:p>
    <w:p>
      <w:pPr>
        <w:pStyle w:val="80"/>
        <w:snapToGrid w:val="0"/>
        <w:spacing w:line="360" w:lineRule="auto"/>
        <w:ind w:firstLine="480" w:firstLineChars="200"/>
        <w:rPr>
          <w:rFonts w:hAnsi="宋体" w:cs="Times New Roman"/>
          <w:color w:val="auto"/>
        </w:rPr>
      </w:pPr>
      <w:r>
        <w:rPr>
          <w:rFonts w:hint="eastAsia" w:hAnsi="宋体" w:cs="Times New Roman"/>
          <w:color w:val="auto"/>
        </w:rPr>
        <w:t>6、就业过程管理及资源：编制高职院校学生进行实习就业指导的就业课程，完整的高职院校学生的常见面试题并整理成册，开发配套的就业管理系统对就业工作进行管理，开发可供高职院校实习就业的以一线二线城市为主的合作IT企业园区及人才市场；</w:t>
      </w:r>
    </w:p>
    <w:p>
      <w:pPr>
        <w:pStyle w:val="80"/>
        <w:snapToGrid w:val="0"/>
        <w:spacing w:line="360" w:lineRule="auto"/>
        <w:ind w:firstLine="480" w:firstLineChars="200"/>
        <w:rPr>
          <w:rFonts w:hAnsi="宋体"/>
        </w:rPr>
      </w:pPr>
      <w:r>
        <w:rPr>
          <w:rFonts w:hint="eastAsia" w:hAnsi="宋体" w:cs="Times New Roman"/>
          <w:color w:val="auto"/>
        </w:rPr>
        <w:t>7、就业跟踪服务：对高职院校学生进行终身就业跟踪服务，注册并运营面向高职院校学生实习就业的微信公众号，撰写并发布针对高职院校学生的《年度实习就业质量报告》。</w:t>
      </w:r>
    </w:p>
    <w:p>
      <w:pPr>
        <w:spacing w:line="360" w:lineRule="auto"/>
        <w:ind w:firstLine="480" w:firstLineChars="200"/>
        <w:rPr>
          <w:rFonts w:asciiTheme="minorEastAsia" w:hAnsiTheme="minorEastAsia" w:eastAsiaTheme="minorEastAsia"/>
          <w:sz w:val="24"/>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pStyle w:val="2"/>
        <w:rPr>
          <w:lang w:val="en-US"/>
        </w:rPr>
      </w:pPr>
    </w:p>
    <w:p>
      <w:pPr>
        <w:spacing w:line="360" w:lineRule="auto"/>
        <w:jc w:val="center"/>
        <w:outlineLvl w:val="1"/>
        <w:rPr>
          <w:rFonts w:asciiTheme="minorEastAsia" w:hAnsiTheme="minorEastAsia" w:eastAsiaTheme="minorEastAsia"/>
          <w:b/>
          <w:sz w:val="28"/>
        </w:rPr>
      </w:pPr>
      <w:bookmarkStart w:id="5" w:name="_Toc7719"/>
      <w:r>
        <w:rPr>
          <w:rFonts w:hint="eastAsia" w:asciiTheme="minorEastAsia" w:hAnsiTheme="minorEastAsia" w:eastAsiaTheme="minorEastAsia"/>
          <w:b/>
          <w:sz w:val="28"/>
        </w:rPr>
        <w:t>第四章  评审方法和标准</w:t>
      </w:r>
      <w:bookmarkEnd w:id="5"/>
    </w:p>
    <w:p>
      <w:pPr>
        <w:spacing w:line="360" w:lineRule="auto"/>
        <w:ind w:firstLine="437"/>
        <w:outlineLvl w:val="2"/>
        <w:rPr>
          <w:rFonts w:ascii="宋体" w:hAnsi="宋体" w:eastAsia="宋体" w:cs="宋体"/>
          <w:b/>
          <w:sz w:val="24"/>
        </w:rPr>
      </w:pPr>
      <w:r>
        <w:rPr>
          <w:rFonts w:hint="eastAsia" w:ascii="宋体" w:hAnsi="宋体" w:eastAsia="宋体" w:cs="宋体"/>
          <w:b/>
          <w:sz w:val="24"/>
        </w:rPr>
        <w:t>一、总则</w:t>
      </w:r>
    </w:p>
    <w:p>
      <w:pPr>
        <w:spacing w:line="360" w:lineRule="auto"/>
        <w:ind w:firstLine="435"/>
        <w:rPr>
          <w:rFonts w:ascii="宋体" w:hAnsi="宋体" w:eastAsia="宋体" w:cs="宋体"/>
          <w:sz w:val="24"/>
        </w:rPr>
      </w:pPr>
      <w:r>
        <w:rPr>
          <w:rFonts w:hint="eastAsia" w:ascii="宋体" w:hAnsi="宋体" w:eastAsia="宋体" w:cs="宋体"/>
          <w:sz w:val="24"/>
        </w:rPr>
        <w:t>本项目将按照磋商文件第二章 供应商须知的相关要求及本章的规定评审。</w:t>
      </w:r>
    </w:p>
    <w:p>
      <w:pPr>
        <w:spacing w:line="360" w:lineRule="auto"/>
        <w:ind w:firstLine="437"/>
        <w:outlineLvl w:val="2"/>
        <w:rPr>
          <w:rFonts w:ascii="宋体" w:hAnsi="宋体" w:eastAsia="宋体" w:cs="宋体"/>
          <w:b/>
          <w:sz w:val="24"/>
        </w:rPr>
      </w:pPr>
      <w:r>
        <w:rPr>
          <w:rFonts w:hint="eastAsia" w:ascii="宋体" w:hAnsi="宋体" w:eastAsia="宋体" w:cs="宋体"/>
          <w:b/>
          <w:sz w:val="24"/>
        </w:rPr>
        <w:t>二、评审方法</w:t>
      </w:r>
    </w:p>
    <w:p>
      <w:pPr>
        <w:spacing w:line="360" w:lineRule="auto"/>
        <w:ind w:firstLine="435"/>
        <w:rPr>
          <w:rFonts w:ascii="宋体" w:hAnsi="宋体" w:eastAsia="宋体" w:cs="宋体"/>
          <w:sz w:val="24"/>
        </w:rPr>
      </w:pPr>
      <w:r>
        <w:rPr>
          <w:rFonts w:hint="eastAsia" w:ascii="宋体" w:hAnsi="宋体" w:eastAsia="宋体" w:cs="宋体"/>
          <w:sz w:val="24"/>
        </w:rPr>
        <w:t>2.1初审</w:t>
      </w:r>
    </w:p>
    <w:p>
      <w:pPr>
        <w:spacing w:line="360" w:lineRule="auto"/>
        <w:ind w:firstLine="435"/>
        <w:rPr>
          <w:rFonts w:ascii="宋体" w:hAnsi="宋体" w:eastAsia="宋体" w:cs="宋体"/>
          <w:sz w:val="24"/>
        </w:rPr>
      </w:pPr>
      <w:r>
        <w:rPr>
          <w:rFonts w:hint="eastAsia" w:ascii="宋体" w:hAnsi="宋体" w:eastAsia="宋体" w:cs="宋体"/>
          <w:sz w:val="24"/>
        </w:rPr>
        <w:t>磋商小组对供应商的响应文件进行初审，以确定其是否满足磋商文件的实质性要求。初审表如下：</w:t>
      </w:r>
    </w:p>
    <w:tbl>
      <w:tblPr>
        <w:tblStyle w:val="25"/>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50"/>
        <w:gridCol w:w="2260"/>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b/>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序号</w:t>
            </w:r>
          </w:p>
        </w:tc>
        <w:tc>
          <w:tcPr>
            <w:tcW w:w="1650" w:type="dxa"/>
            <w:tcBorders>
              <w:bottom w:val="single" w:color="auto" w:sz="4" w:space="0"/>
            </w:tcBorders>
            <w:vAlign w:val="center"/>
          </w:tcPr>
          <w:p>
            <w:pPr>
              <w:pStyle w:val="57"/>
              <w:pBdr>
                <w:bottom w:val="none" w:color="auto" w:sz="0" w:space="0"/>
              </w:pBdr>
              <w:tabs>
                <w:tab w:val="clear" w:pos="4153"/>
                <w:tab w:val="clear" w:pos="8306"/>
              </w:tabs>
              <w:snapToGrid w:val="0"/>
              <w:spacing w:line="360" w:lineRule="auto"/>
              <w:ind w:right="-10"/>
              <w:textAlignment w:val="auto"/>
              <w:rPr>
                <w:rFonts w:ascii="宋体" w:hAnsi="宋体" w:eastAsia="宋体" w:cs="宋体"/>
                <w:kern w:val="2"/>
                <w:szCs w:val="24"/>
              </w:rPr>
            </w:pPr>
            <w:r>
              <w:rPr>
                <w:rFonts w:hint="eastAsia" w:ascii="宋体" w:hAnsi="宋体" w:eastAsia="宋体" w:cs="宋体"/>
                <w:kern w:val="2"/>
                <w:szCs w:val="24"/>
              </w:rPr>
              <w:t>评审指标</w:t>
            </w:r>
          </w:p>
        </w:tc>
        <w:tc>
          <w:tcPr>
            <w:tcW w:w="2260" w:type="dxa"/>
            <w:tcBorders>
              <w:bottom w:val="single" w:color="auto" w:sz="4" w:space="0"/>
            </w:tcBorders>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评审标准</w:t>
            </w:r>
          </w:p>
        </w:tc>
        <w:tc>
          <w:tcPr>
            <w:tcW w:w="3875" w:type="dxa"/>
            <w:tcBorders>
              <w:bottom w:val="single" w:color="auto" w:sz="4" w:space="0"/>
            </w:tcBorders>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1</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营业执照</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合法有效</w:t>
            </w:r>
          </w:p>
        </w:tc>
        <w:tc>
          <w:tcPr>
            <w:tcW w:w="3875" w:type="dxa"/>
            <w:vMerge w:val="restart"/>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联合体参加磋商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2</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税务登记证</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合法有效</w:t>
            </w:r>
          </w:p>
        </w:tc>
        <w:tc>
          <w:tcPr>
            <w:tcW w:w="3875" w:type="dxa"/>
            <w:vMerge w:val="continue"/>
            <w:tcBorders>
              <w:bottom w:val="single" w:color="auto" w:sz="4" w:space="0"/>
            </w:tcBorders>
            <w:vAlign w:val="center"/>
          </w:tcPr>
          <w:p>
            <w:pPr>
              <w:spacing w:after="50" w:line="360" w:lineRule="auto"/>
              <w:ind w:right="-10"/>
              <w:jc w:val="center"/>
              <w:rPr>
                <w:rFonts w:ascii="宋体" w:hAnsi="宋体" w:eastAsia="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3</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不良信用记录查询</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供应商不得存在供应商资格中的不良信用记录情形</w:t>
            </w:r>
          </w:p>
        </w:tc>
        <w:tc>
          <w:tcPr>
            <w:tcW w:w="3875"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详见供应商须知第19.3.1.1条要求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4</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无重大违法记录声明函、无不良信用记录声明函</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格式、填写要求符合磋商文件规定并加盖供应商电子签章</w:t>
            </w:r>
          </w:p>
        </w:tc>
        <w:tc>
          <w:tcPr>
            <w:tcW w:w="3875"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详见第六章响应文件格式四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5</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磋商响应函</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格式、填写要求符合磋商文件规定并加盖供应商电子签章</w:t>
            </w:r>
          </w:p>
        </w:tc>
        <w:tc>
          <w:tcPr>
            <w:tcW w:w="3875"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详见第六章响应文件格式三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6</w:t>
            </w:r>
          </w:p>
        </w:tc>
        <w:tc>
          <w:tcPr>
            <w:tcW w:w="165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磋商授权书</w:t>
            </w:r>
          </w:p>
        </w:tc>
        <w:tc>
          <w:tcPr>
            <w:tcW w:w="2260" w:type="dxa"/>
            <w:tcBorders>
              <w:bottom w:val="single" w:color="auto" w:sz="4" w:space="0"/>
            </w:tcBorders>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格式、填写要求符合磋商文件规定并加盖供应商电子签章</w:t>
            </w:r>
          </w:p>
        </w:tc>
        <w:tc>
          <w:tcPr>
            <w:tcW w:w="3875" w:type="dxa"/>
            <w:tcBorders>
              <w:bottom w:val="single" w:color="auto" w:sz="4" w:space="0"/>
            </w:tcBorders>
            <w:vAlign w:val="center"/>
          </w:tcPr>
          <w:p>
            <w:pPr>
              <w:adjustRightInd w:val="0"/>
              <w:snapToGrid w:val="0"/>
              <w:spacing w:line="360" w:lineRule="auto"/>
              <w:ind w:right="-10"/>
              <w:jc w:val="left"/>
              <w:rPr>
                <w:rFonts w:ascii="宋体" w:hAnsi="宋体" w:eastAsia="宋体" w:cs="宋体"/>
                <w:sz w:val="24"/>
              </w:rPr>
            </w:pPr>
            <w:r>
              <w:rPr>
                <w:rFonts w:hint="eastAsia" w:ascii="宋体" w:hAnsi="宋体" w:eastAsia="宋体" w:cs="宋体"/>
                <w:sz w:val="24"/>
              </w:rPr>
              <w:t>法定代表人参加磋商的无需此件，提供身份证明即可。详见第六章响应文件格式五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7</w:t>
            </w:r>
          </w:p>
        </w:tc>
        <w:tc>
          <w:tcPr>
            <w:tcW w:w="165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磋商保证金</w:t>
            </w:r>
          </w:p>
        </w:tc>
        <w:tc>
          <w:tcPr>
            <w:tcW w:w="226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符合磋商文件供应商须知正文第13条要求</w:t>
            </w:r>
          </w:p>
        </w:tc>
        <w:tc>
          <w:tcPr>
            <w:tcW w:w="3875" w:type="dxa"/>
            <w:vAlign w:val="center"/>
          </w:tcPr>
          <w:p>
            <w:pPr>
              <w:adjustRightInd w:val="0"/>
              <w:snapToGrid w:val="0"/>
              <w:spacing w:line="360" w:lineRule="auto"/>
              <w:ind w:right="-10"/>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8</w:t>
            </w:r>
          </w:p>
        </w:tc>
        <w:tc>
          <w:tcPr>
            <w:tcW w:w="165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磋商报价</w:t>
            </w:r>
          </w:p>
        </w:tc>
        <w:tc>
          <w:tcPr>
            <w:tcW w:w="226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符合磋商</w:t>
            </w:r>
            <w:r>
              <w:rPr>
                <w:rFonts w:hint="eastAsia" w:ascii="宋体" w:hAnsi="宋体" w:eastAsia="宋体" w:cs="宋体"/>
                <w:sz w:val="24"/>
              </w:rPr>
              <w:t>文件供应商须知正文第12、22条要求</w:t>
            </w:r>
          </w:p>
        </w:tc>
        <w:tc>
          <w:tcPr>
            <w:tcW w:w="3875" w:type="dxa"/>
            <w:vAlign w:val="center"/>
          </w:tcPr>
          <w:p>
            <w:pPr>
              <w:adjustRightInd w:val="0"/>
              <w:snapToGrid w:val="0"/>
              <w:spacing w:line="360" w:lineRule="auto"/>
              <w:ind w:right="-10"/>
              <w:jc w:val="left"/>
              <w:rPr>
                <w:rFonts w:ascii="宋体" w:hAnsi="宋体" w:eastAsia="宋体" w:cs="宋体"/>
                <w:sz w:val="24"/>
              </w:rPr>
            </w:pPr>
            <w:r>
              <w:rPr>
                <w:rFonts w:hint="eastAsia" w:ascii="宋体" w:hAnsi="宋体" w:eastAsia="宋体" w:cs="宋体"/>
                <w:sz w:val="24"/>
              </w:rPr>
              <w:t>详见第六章响应文件格式一、二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9</w:t>
            </w:r>
          </w:p>
        </w:tc>
        <w:tc>
          <w:tcPr>
            <w:tcW w:w="165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商务响应情况</w:t>
            </w:r>
          </w:p>
        </w:tc>
        <w:tc>
          <w:tcPr>
            <w:tcW w:w="226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符合磋商文件采购需求中付款方式、服务期限、服务地点的要求</w:t>
            </w:r>
          </w:p>
        </w:tc>
        <w:tc>
          <w:tcPr>
            <w:tcW w:w="3875" w:type="dxa"/>
            <w:vAlign w:val="center"/>
          </w:tcPr>
          <w:p>
            <w:pPr>
              <w:adjustRightInd w:val="0"/>
              <w:snapToGrid w:val="0"/>
              <w:spacing w:line="360" w:lineRule="auto"/>
              <w:ind w:right="-10"/>
              <w:jc w:val="left"/>
              <w:rPr>
                <w:rFonts w:ascii="宋体" w:hAnsi="宋体" w:eastAsia="宋体" w:cs="宋体"/>
                <w:sz w:val="24"/>
              </w:rPr>
            </w:pPr>
            <w:r>
              <w:rPr>
                <w:rFonts w:hint="eastAsia" w:ascii="宋体" w:hAnsi="宋体" w:eastAsia="宋体" w:cs="宋体"/>
                <w:sz w:val="24"/>
              </w:rPr>
              <w:t>详见第六章响应文件格式六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adjustRightInd w:val="0"/>
              <w:snapToGrid w:val="0"/>
              <w:spacing w:line="360" w:lineRule="auto"/>
              <w:ind w:right="-10"/>
              <w:jc w:val="center"/>
              <w:rPr>
                <w:rFonts w:ascii="宋体" w:hAnsi="宋体" w:eastAsia="宋体" w:cs="宋体"/>
                <w:sz w:val="24"/>
              </w:rPr>
            </w:pPr>
            <w:r>
              <w:rPr>
                <w:rFonts w:hint="eastAsia" w:ascii="宋体" w:hAnsi="宋体" w:eastAsia="宋体" w:cs="宋体"/>
                <w:sz w:val="24"/>
              </w:rPr>
              <w:t>10</w:t>
            </w:r>
          </w:p>
        </w:tc>
        <w:tc>
          <w:tcPr>
            <w:tcW w:w="165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其他要求</w:t>
            </w:r>
          </w:p>
        </w:tc>
        <w:tc>
          <w:tcPr>
            <w:tcW w:w="2260" w:type="dxa"/>
            <w:vAlign w:val="center"/>
          </w:tcPr>
          <w:p>
            <w:pPr>
              <w:spacing w:after="50" w:line="360" w:lineRule="auto"/>
              <w:ind w:right="-10"/>
              <w:jc w:val="center"/>
              <w:rPr>
                <w:rFonts w:ascii="宋体" w:hAnsi="宋体" w:eastAsia="宋体" w:cs="宋体"/>
                <w:sz w:val="24"/>
                <w:szCs w:val="28"/>
              </w:rPr>
            </w:pPr>
            <w:r>
              <w:rPr>
                <w:rFonts w:hint="eastAsia" w:ascii="宋体" w:hAnsi="宋体" w:eastAsia="宋体" w:cs="宋体"/>
                <w:sz w:val="24"/>
                <w:szCs w:val="28"/>
              </w:rPr>
              <w:t>符合法律、行政法规规定的其他条件或磋商文件列明的其他要求</w:t>
            </w:r>
          </w:p>
        </w:tc>
        <w:tc>
          <w:tcPr>
            <w:tcW w:w="3875" w:type="dxa"/>
            <w:vAlign w:val="center"/>
          </w:tcPr>
          <w:p>
            <w:pPr>
              <w:adjustRightInd w:val="0"/>
              <w:snapToGrid w:val="0"/>
              <w:spacing w:line="360" w:lineRule="auto"/>
              <w:ind w:right="-10"/>
              <w:jc w:val="left"/>
              <w:rPr>
                <w:rFonts w:ascii="宋体" w:hAnsi="宋体" w:eastAsia="宋体" w:cs="宋体"/>
                <w:sz w:val="24"/>
              </w:rPr>
            </w:pPr>
          </w:p>
        </w:tc>
      </w:tr>
    </w:tbl>
    <w:p>
      <w:pPr>
        <w:spacing w:line="360" w:lineRule="auto"/>
        <w:ind w:firstLine="435"/>
        <w:rPr>
          <w:rFonts w:ascii="宋体" w:hAnsi="宋体" w:eastAsia="宋体" w:cs="宋体"/>
          <w:sz w:val="24"/>
        </w:rPr>
      </w:pPr>
      <w:r>
        <w:rPr>
          <w:rFonts w:hint="eastAsia" w:ascii="宋体" w:hAnsi="宋体" w:eastAsia="宋体" w:cs="宋体"/>
          <w:b/>
          <w:bCs/>
          <w:sz w:val="24"/>
        </w:rPr>
        <w:t>初审指标通过标准：</w:t>
      </w:r>
      <w:r>
        <w:rPr>
          <w:rFonts w:hint="eastAsia" w:ascii="宋体" w:hAnsi="宋体" w:eastAsia="宋体" w:cs="宋体"/>
          <w:sz w:val="24"/>
        </w:rPr>
        <w:t>供应商必须通过初审表中的全部评审指标。</w:t>
      </w:r>
    </w:p>
    <w:p>
      <w:pPr>
        <w:spacing w:line="360" w:lineRule="auto"/>
        <w:ind w:firstLine="435"/>
        <w:rPr>
          <w:rFonts w:ascii="宋体" w:hAnsi="宋体" w:eastAsia="宋体" w:cs="宋体"/>
          <w:b/>
          <w:sz w:val="24"/>
        </w:rPr>
      </w:pPr>
      <w:r>
        <w:rPr>
          <w:rFonts w:hint="eastAsia" w:ascii="宋体" w:hAnsi="宋体" w:eastAsia="宋体" w:cs="宋体"/>
          <w:b/>
          <w:sz w:val="24"/>
        </w:rPr>
        <w:t>2.2综合评分</w:t>
      </w:r>
    </w:p>
    <w:p>
      <w:pPr>
        <w:spacing w:line="360" w:lineRule="auto"/>
        <w:ind w:firstLine="435"/>
        <w:rPr>
          <w:rFonts w:ascii="宋体" w:hAnsi="宋体" w:eastAsia="宋体" w:cs="宋体"/>
          <w:sz w:val="24"/>
        </w:rPr>
      </w:pPr>
      <w:r>
        <w:rPr>
          <w:rFonts w:hint="eastAsia" w:ascii="宋体" w:hAnsi="宋体" w:eastAsia="宋体" w:cs="宋体"/>
          <w:sz w:val="24"/>
        </w:rPr>
        <w:t>2.2.1磋商小组按照下表对进入综合评分的所有供应商的响应文件进行综合评分。</w:t>
      </w:r>
    </w:p>
    <w:p>
      <w:pPr>
        <w:spacing w:line="360" w:lineRule="auto"/>
        <w:ind w:firstLine="435"/>
        <w:rPr>
          <w:rFonts w:ascii="宋体" w:hAnsi="宋体" w:eastAsia="宋体" w:cs="宋体"/>
          <w:sz w:val="24"/>
        </w:rPr>
      </w:pPr>
      <w:r>
        <w:rPr>
          <w:rFonts w:hint="eastAsia" w:ascii="宋体" w:hAnsi="宋体" w:eastAsia="宋体" w:cs="宋体"/>
          <w:sz w:val="24"/>
        </w:rPr>
        <w:t>2.2.2本项目综合评分满分为100分，其中：技术资信分值占总分值的权重为</w:t>
      </w:r>
      <w:r>
        <w:rPr>
          <w:rFonts w:hint="eastAsia" w:ascii="宋体" w:hAnsi="宋体" w:eastAsia="宋体" w:cs="宋体"/>
          <w:sz w:val="24"/>
          <w:u w:val="single"/>
        </w:rPr>
        <w:t xml:space="preserve">70 </w:t>
      </w:r>
      <w:r>
        <w:rPr>
          <w:rFonts w:hint="eastAsia" w:ascii="宋体" w:hAnsi="宋体" w:eastAsia="宋体" w:cs="宋体"/>
          <w:sz w:val="24"/>
        </w:rPr>
        <w:t>%，价格分值占总分值的权重为</w:t>
      </w:r>
      <w:r>
        <w:rPr>
          <w:rFonts w:hint="eastAsia" w:ascii="宋体" w:hAnsi="宋体" w:eastAsia="宋体" w:cs="宋体"/>
          <w:sz w:val="24"/>
          <w:u w:val="single"/>
        </w:rPr>
        <w:t xml:space="preserve">30 </w:t>
      </w:r>
      <w:r>
        <w:rPr>
          <w:rFonts w:hint="eastAsia" w:ascii="宋体" w:hAnsi="宋体" w:eastAsia="宋体" w:cs="宋体"/>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14"/>
        <w:gridCol w:w="373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类别</w:t>
            </w:r>
          </w:p>
        </w:tc>
        <w:tc>
          <w:tcPr>
            <w:tcW w:w="10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商务技术分</w:t>
            </w:r>
          </w:p>
          <w:p>
            <w:pPr>
              <w:spacing w:line="360" w:lineRule="auto"/>
              <w:jc w:val="center"/>
              <w:rPr>
                <w:rFonts w:ascii="宋体" w:hAnsi="宋体" w:eastAsia="宋体"/>
                <w:b/>
                <w:bCs/>
                <w:sz w:val="24"/>
                <w:szCs w:val="24"/>
              </w:rPr>
            </w:pPr>
            <w:r>
              <w:rPr>
                <w:rFonts w:hint="eastAsia" w:ascii="宋体" w:hAnsi="宋体" w:eastAsia="宋体"/>
                <w:sz w:val="24"/>
                <w:szCs w:val="24"/>
              </w:rPr>
              <w:t>（</w:t>
            </w:r>
            <w:r>
              <w:rPr>
                <w:rFonts w:hint="eastAsia" w:ascii="宋体" w:hAnsi="宋体" w:eastAsia="宋体"/>
                <w:sz w:val="24"/>
                <w:szCs w:val="24"/>
                <w:u w:val="single"/>
              </w:rPr>
              <w:t xml:space="preserve"> 70 </w:t>
            </w:r>
            <w:r>
              <w:rPr>
                <w:rFonts w:hint="eastAsia" w:ascii="宋体" w:hAnsi="宋体" w:eastAsia="宋体"/>
                <w:sz w:val="24"/>
                <w:szCs w:val="24"/>
              </w:rPr>
              <w:t>分）</w:t>
            </w: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合作案例</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4"/>
                <w:szCs w:val="24"/>
              </w:rPr>
            </w:pPr>
            <w:r>
              <w:rPr>
                <w:rFonts w:hint="eastAsia" w:ascii="宋体" w:hAnsi="宋体" w:eastAsia="宋体" w:cs="宋体"/>
                <w:kern w:val="0"/>
                <w:sz w:val="24"/>
                <w:szCs w:val="24"/>
              </w:rPr>
              <w:t>供应商必须提供近三年（</w:t>
            </w:r>
            <w:r>
              <w:rPr>
                <w:rFonts w:hint="eastAsia" w:ascii="宋体" w:hAnsi="宋体" w:eastAsia="宋体"/>
                <w:kern w:val="0"/>
                <w:sz w:val="24"/>
                <w:szCs w:val="24"/>
              </w:rPr>
              <w:t>2017</w:t>
            </w:r>
            <w:r>
              <w:rPr>
                <w:rFonts w:hint="eastAsia" w:ascii="宋体" w:hAnsi="宋体" w:eastAsia="宋体" w:cs="宋体"/>
                <w:kern w:val="0"/>
                <w:sz w:val="24"/>
                <w:szCs w:val="24"/>
              </w:rPr>
              <w:t>年</w:t>
            </w:r>
            <w:r>
              <w:rPr>
                <w:rFonts w:hint="eastAsia" w:ascii="宋体" w:hAnsi="宋体" w:eastAsia="宋体"/>
                <w:kern w:val="0"/>
                <w:sz w:val="24"/>
                <w:szCs w:val="24"/>
              </w:rPr>
              <w:t>1</w:t>
            </w:r>
            <w:r>
              <w:rPr>
                <w:rFonts w:hint="eastAsia" w:ascii="宋体" w:hAnsi="宋体" w:eastAsia="宋体" w:cs="宋体"/>
                <w:kern w:val="0"/>
                <w:sz w:val="24"/>
                <w:szCs w:val="24"/>
              </w:rPr>
              <w:t>月</w:t>
            </w:r>
            <w:r>
              <w:rPr>
                <w:rFonts w:hint="eastAsia" w:ascii="宋体" w:hAnsi="宋体" w:eastAsia="宋体"/>
                <w:kern w:val="0"/>
                <w:sz w:val="24"/>
                <w:szCs w:val="24"/>
              </w:rPr>
              <w:t>1</w:t>
            </w:r>
            <w:r>
              <w:rPr>
                <w:rFonts w:hint="eastAsia" w:ascii="宋体" w:hAnsi="宋体" w:eastAsia="宋体" w:cs="宋体"/>
                <w:kern w:val="0"/>
                <w:sz w:val="24"/>
                <w:szCs w:val="24"/>
              </w:rPr>
              <w:t>日后）与国家示范高职院院校或国家骨干高职院校计算机类专业购买服务中标成功案例。必须同时提供中标通知书及合同复印件并加盖公章。提供一个院校中标通知书及合同复印件得</w:t>
            </w:r>
            <w:r>
              <w:rPr>
                <w:rFonts w:hint="eastAsia" w:ascii="宋体" w:hAnsi="宋体" w:eastAsia="宋体"/>
                <w:kern w:val="0"/>
                <w:sz w:val="24"/>
                <w:szCs w:val="24"/>
              </w:rPr>
              <w:t>1</w:t>
            </w:r>
            <w:r>
              <w:rPr>
                <w:rFonts w:hint="eastAsia" w:ascii="宋体" w:hAnsi="宋体" w:eastAsia="宋体" w:cs="宋体"/>
                <w:kern w:val="0"/>
                <w:sz w:val="24"/>
                <w:szCs w:val="24"/>
              </w:rPr>
              <w:t>分，满分2分，不提供的不得分。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4"/>
                <w:szCs w:val="24"/>
              </w:rPr>
            </w:pPr>
            <w:r>
              <w:rPr>
                <w:rFonts w:hint="eastAsia" w:ascii="宋体" w:hAnsi="宋体" w:eastAsia="宋体"/>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服务能力</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4"/>
                <w:szCs w:val="24"/>
              </w:rPr>
            </w:pPr>
            <w:r>
              <w:rPr>
                <w:rFonts w:hint="eastAsia" w:ascii="宋体" w:hAnsi="宋体" w:eastAsia="宋体" w:cs="宋体"/>
                <w:kern w:val="0"/>
                <w:sz w:val="24"/>
                <w:szCs w:val="24"/>
              </w:rPr>
              <w:t>供应商必须提供近三年（</w:t>
            </w:r>
            <w:r>
              <w:rPr>
                <w:rFonts w:hint="eastAsia" w:ascii="宋体" w:hAnsi="宋体" w:eastAsia="宋体"/>
                <w:kern w:val="0"/>
                <w:sz w:val="24"/>
                <w:szCs w:val="24"/>
              </w:rPr>
              <w:t>2017</w:t>
            </w:r>
            <w:r>
              <w:rPr>
                <w:rFonts w:hint="eastAsia" w:ascii="宋体" w:hAnsi="宋体" w:eastAsia="宋体" w:cs="宋体"/>
                <w:kern w:val="0"/>
                <w:sz w:val="24"/>
                <w:szCs w:val="24"/>
              </w:rPr>
              <w:t>年</w:t>
            </w:r>
            <w:r>
              <w:rPr>
                <w:rFonts w:hint="eastAsia" w:ascii="宋体" w:hAnsi="宋体" w:eastAsia="宋体"/>
                <w:kern w:val="0"/>
                <w:sz w:val="24"/>
                <w:szCs w:val="24"/>
              </w:rPr>
              <w:t>1</w:t>
            </w:r>
            <w:r>
              <w:rPr>
                <w:rFonts w:hint="eastAsia" w:ascii="宋体" w:hAnsi="宋体" w:eastAsia="宋体" w:cs="宋体"/>
                <w:kern w:val="0"/>
                <w:sz w:val="24"/>
                <w:szCs w:val="24"/>
              </w:rPr>
              <w:t>月</w:t>
            </w:r>
            <w:r>
              <w:rPr>
                <w:rFonts w:hint="eastAsia" w:ascii="宋体" w:hAnsi="宋体" w:eastAsia="宋体"/>
                <w:kern w:val="0"/>
                <w:sz w:val="24"/>
                <w:szCs w:val="24"/>
              </w:rPr>
              <w:t>1</w:t>
            </w:r>
            <w:r>
              <w:rPr>
                <w:rFonts w:hint="eastAsia" w:ascii="宋体" w:hAnsi="宋体" w:eastAsia="宋体" w:cs="宋体"/>
                <w:kern w:val="0"/>
                <w:sz w:val="24"/>
                <w:szCs w:val="24"/>
              </w:rPr>
              <w:t>日以后）面向高职院校的校企合作计算机类专业共建合作协议复印件并加盖公章（协议中必须明确写明企业服务收费标准</w:t>
            </w:r>
            <w:r>
              <w:rPr>
                <w:rFonts w:hint="eastAsia" w:ascii="宋体" w:hAnsi="宋体" w:eastAsia="宋体"/>
                <w:kern w:val="0"/>
                <w:sz w:val="24"/>
                <w:szCs w:val="24"/>
              </w:rPr>
              <w:t>8000</w:t>
            </w:r>
            <w:r>
              <w:rPr>
                <w:rFonts w:hint="eastAsia" w:ascii="宋体" w:hAnsi="宋体" w:eastAsia="宋体" w:cs="宋体"/>
                <w:kern w:val="0"/>
                <w:sz w:val="24"/>
                <w:szCs w:val="24"/>
              </w:rPr>
              <w:t>元</w:t>
            </w:r>
            <w:r>
              <w:rPr>
                <w:rFonts w:hint="eastAsia" w:ascii="宋体" w:hAnsi="宋体" w:eastAsia="宋体"/>
                <w:kern w:val="0"/>
                <w:sz w:val="24"/>
                <w:szCs w:val="24"/>
              </w:rPr>
              <w:t>/</w:t>
            </w:r>
            <w:r>
              <w:rPr>
                <w:rFonts w:hint="eastAsia" w:ascii="宋体" w:hAnsi="宋体" w:eastAsia="宋体" w:cs="宋体"/>
                <w:kern w:val="0"/>
                <w:sz w:val="24"/>
                <w:szCs w:val="24"/>
              </w:rPr>
              <w:t>学年</w:t>
            </w:r>
            <w:r>
              <w:rPr>
                <w:rFonts w:hint="eastAsia" w:ascii="宋体" w:hAnsi="宋体" w:eastAsia="宋体"/>
                <w:kern w:val="0"/>
                <w:sz w:val="24"/>
                <w:szCs w:val="24"/>
              </w:rPr>
              <w:t>/</w:t>
            </w:r>
            <w:r>
              <w:rPr>
                <w:rFonts w:hint="eastAsia" w:ascii="宋体" w:hAnsi="宋体" w:eastAsia="宋体" w:cs="宋体"/>
                <w:kern w:val="0"/>
                <w:sz w:val="24"/>
                <w:szCs w:val="24"/>
              </w:rPr>
              <w:t>生以上）。提供一个协议复印件得</w:t>
            </w:r>
            <w:r>
              <w:rPr>
                <w:rFonts w:ascii="宋体" w:hAnsi="宋体" w:eastAsia="宋体"/>
                <w:kern w:val="0"/>
                <w:sz w:val="24"/>
                <w:szCs w:val="24"/>
              </w:rPr>
              <w:t>1</w:t>
            </w:r>
            <w:r>
              <w:rPr>
                <w:rFonts w:hint="eastAsia" w:ascii="宋体" w:hAnsi="宋体" w:eastAsia="宋体" w:cs="宋体"/>
                <w:kern w:val="0"/>
                <w:sz w:val="24"/>
                <w:szCs w:val="24"/>
              </w:rPr>
              <w:t>分，满分4分，不提供的不得分。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4"/>
                <w:szCs w:val="24"/>
              </w:rPr>
            </w:pPr>
            <w:r>
              <w:rPr>
                <w:rFonts w:ascii="宋体" w:hAnsi="宋体" w:eastAsia="宋体"/>
                <w:kern w:val="0"/>
                <w:sz w:val="24"/>
                <w:szCs w:val="24"/>
              </w:rPr>
              <w:t>4</w:t>
            </w:r>
            <w:r>
              <w:rPr>
                <w:rFonts w:hint="eastAsia" w:ascii="宋体" w:hAnsi="宋体" w:eastAsia="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4"/>
                <w:szCs w:val="24"/>
              </w:rPr>
            </w:pPr>
            <w:r>
              <w:rPr>
                <w:rFonts w:hint="eastAsia" w:ascii="宋体" w:hAnsi="宋体" w:eastAsia="宋体" w:cs="宋体"/>
                <w:kern w:val="0"/>
                <w:sz w:val="24"/>
                <w:szCs w:val="24"/>
              </w:rPr>
              <w:t>实施服务方案</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根据供应商提供的实施服务方案综合评价：</w:t>
            </w:r>
          </w:p>
          <w:p>
            <w:pPr>
              <w:rPr>
                <w:rFonts w:ascii="宋体" w:hAnsi="宋体" w:eastAsia="宋体" w:cs="宋体"/>
                <w:kern w:val="0"/>
                <w:sz w:val="24"/>
                <w:szCs w:val="24"/>
              </w:rPr>
            </w:pPr>
            <w:r>
              <w:rPr>
                <w:rFonts w:hint="eastAsia" w:ascii="宋体" w:hAnsi="宋体" w:eastAsia="宋体" w:cs="宋体"/>
                <w:kern w:val="0"/>
                <w:sz w:val="24"/>
                <w:szCs w:val="24"/>
              </w:rPr>
              <w:t>实施服务保障体系及措施完善、技术支持能力强、服务响应快、响应程度好的得2分；实施服务保障体系及措施基本符合要求，但技术支持能力和服务响应速度一般的得1分，未提供的不计分。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4"/>
                <w:szCs w:val="24"/>
              </w:rPr>
            </w:pPr>
            <w:r>
              <w:rPr>
                <w:rFonts w:hint="eastAsia" w:ascii="宋体" w:hAnsi="宋体" w:eastAsia="宋体"/>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4"/>
                <w:szCs w:val="24"/>
              </w:rPr>
            </w:pPr>
            <w:r>
              <w:rPr>
                <w:rFonts w:hint="eastAsia" w:ascii="宋体" w:hAnsi="宋体" w:eastAsia="宋体" w:cs="宋体"/>
                <w:kern w:val="0"/>
                <w:sz w:val="24"/>
                <w:szCs w:val="24"/>
              </w:rPr>
              <w:t>院校满意度评价</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4"/>
                <w:szCs w:val="24"/>
              </w:rPr>
            </w:pPr>
            <w:r>
              <w:rPr>
                <w:rFonts w:hint="eastAsia" w:ascii="宋体" w:hAnsi="宋体" w:eastAsia="宋体" w:cs="宋体"/>
                <w:kern w:val="0"/>
                <w:sz w:val="24"/>
                <w:szCs w:val="24"/>
              </w:rPr>
              <w:t>供应商必须提供已合作高职院校教学管理、学工管理、就业管理等的满意度评价，评价必须加盖校方公章。每提供</w:t>
            </w:r>
            <w:r>
              <w:rPr>
                <w:rFonts w:hint="eastAsia" w:ascii="宋体" w:hAnsi="宋体" w:eastAsia="宋体"/>
                <w:kern w:val="0"/>
                <w:sz w:val="24"/>
                <w:szCs w:val="24"/>
              </w:rPr>
              <w:t>1</w:t>
            </w:r>
            <w:r>
              <w:rPr>
                <w:rFonts w:hint="eastAsia" w:ascii="宋体" w:hAnsi="宋体" w:eastAsia="宋体" w:cs="宋体"/>
                <w:kern w:val="0"/>
                <w:sz w:val="24"/>
                <w:szCs w:val="24"/>
              </w:rPr>
              <w:t>个得</w:t>
            </w:r>
            <w:r>
              <w:rPr>
                <w:rFonts w:hint="eastAsia" w:ascii="宋体" w:hAnsi="宋体" w:eastAsia="宋体"/>
                <w:kern w:val="0"/>
                <w:sz w:val="24"/>
                <w:szCs w:val="24"/>
              </w:rPr>
              <w:t>0.5</w:t>
            </w:r>
            <w:r>
              <w:rPr>
                <w:rFonts w:hint="eastAsia" w:ascii="宋体" w:hAnsi="宋体" w:eastAsia="宋体" w:cs="宋体"/>
                <w:kern w:val="0"/>
                <w:sz w:val="24"/>
                <w:szCs w:val="24"/>
              </w:rPr>
              <w:t>分，满分2分，不提供的不得分。</w:t>
            </w:r>
            <w:r>
              <w:rPr>
                <w:rFonts w:hint="eastAsia" w:ascii="宋体" w:hAnsi="宋体" w:eastAsia="宋体" w:cs="宋体"/>
                <w:color w:val="000000" w:themeColor="text1"/>
                <w:kern w:val="0"/>
                <w:sz w:val="24"/>
                <w:szCs w:val="24"/>
                <w14:textFill>
                  <w14:solidFill>
                    <w14:schemeClr w14:val="tx1"/>
                  </w14:solidFill>
                </w14:textFill>
              </w:rPr>
              <w:t>（此处的院校须与前述服务能力中的院校一一对应，否则不得分）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4"/>
                <w:szCs w:val="24"/>
              </w:rPr>
            </w:pPr>
            <w:r>
              <w:rPr>
                <w:rFonts w:hint="eastAsia" w:ascii="宋体" w:hAnsi="宋体" w:eastAsia="宋体"/>
                <w:kern w:val="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bCs/>
                <w:kern w:val="0"/>
                <w:sz w:val="24"/>
                <w:szCs w:val="24"/>
              </w:rPr>
              <w:t>课程教学服务</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bCs/>
                <w:kern w:val="0"/>
                <w:sz w:val="24"/>
                <w:szCs w:val="24"/>
              </w:rPr>
            </w:pPr>
            <w:r>
              <w:rPr>
                <w:rFonts w:hint="eastAsia" w:ascii="宋体" w:hAnsi="宋体" w:eastAsia="宋体"/>
                <w:bCs/>
                <w:kern w:val="0"/>
                <w:sz w:val="24"/>
                <w:szCs w:val="24"/>
              </w:rPr>
              <w:t>针对磋商文件中提出的课程教学服务要求编制技术文件，需提供如下证明材料：</w:t>
            </w:r>
          </w:p>
          <w:p>
            <w:pPr>
              <w:rPr>
                <w:rFonts w:ascii="宋体" w:hAnsi="宋体" w:eastAsia="宋体"/>
                <w:b/>
                <w:bCs/>
                <w:kern w:val="0"/>
                <w:sz w:val="24"/>
                <w:szCs w:val="24"/>
              </w:rPr>
            </w:pPr>
            <w:r>
              <w:rPr>
                <w:rFonts w:hint="eastAsia" w:ascii="宋体" w:hAnsi="宋体" w:eastAsia="宋体"/>
                <w:bCs/>
                <w:kern w:val="0"/>
                <w:sz w:val="24"/>
                <w:szCs w:val="24"/>
              </w:rPr>
              <w:t>1</w:t>
            </w:r>
            <w:r>
              <w:rPr>
                <w:rFonts w:ascii="宋体" w:hAnsi="宋体" w:eastAsia="宋体"/>
                <w:bCs/>
                <w:kern w:val="0"/>
                <w:sz w:val="24"/>
                <w:szCs w:val="24"/>
              </w:rPr>
              <w:t>.汇编成册的</w:t>
            </w:r>
            <w:r>
              <w:rPr>
                <w:rFonts w:hint="eastAsia" w:ascii="宋体" w:hAnsi="宋体" w:eastAsia="宋体"/>
                <w:bCs/>
                <w:kern w:val="0"/>
                <w:sz w:val="24"/>
                <w:szCs w:val="24"/>
              </w:rPr>
              <w:t>《学术主管岗位工作标准化》手册；</w:t>
            </w:r>
            <w:r>
              <w:rPr>
                <w:rFonts w:ascii="宋体" w:hAnsi="宋体" w:eastAsia="宋体"/>
                <w:bCs/>
                <w:kern w:val="0"/>
                <w:sz w:val="24"/>
                <w:szCs w:val="24"/>
              </w:rPr>
              <w:br w:type="textWrapping"/>
            </w:r>
            <w:r>
              <w:rPr>
                <w:rFonts w:ascii="宋体" w:hAnsi="宋体" w:eastAsia="宋体"/>
                <w:bCs/>
                <w:kern w:val="0"/>
                <w:sz w:val="24"/>
                <w:szCs w:val="24"/>
              </w:rPr>
              <w:t>2.汇编成册的</w:t>
            </w:r>
            <w:r>
              <w:rPr>
                <w:rFonts w:hint="eastAsia" w:ascii="宋体" w:hAnsi="宋体" w:eastAsia="宋体"/>
                <w:bCs/>
                <w:kern w:val="0"/>
                <w:sz w:val="24"/>
                <w:szCs w:val="24"/>
              </w:rPr>
              <w:t>《学术讲师岗位工作标准化》手册；</w:t>
            </w:r>
          </w:p>
          <w:p>
            <w:pPr>
              <w:rPr>
                <w:rFonts w:ascii="宋体" w:hAnsi="宋体" w:eastAsia="宋体"/>
                <w:bCs/>
                <w:kern w:val="0"/>
                <w:sz w:val="24"/>
                <w:szCs w:val="24"/>
              </w:rPr>
            </w:pPr>
            <w:r>
              <w:rPr>
                <w:rFonts w:ascii="宋体" w:hAnsi="宋体" w:eastAsia="宋体"/>
                <w:bCs/>
                <w:kern w:val="0"/>
                <w:sz w:val="24"/>
                <w:szCs w:val="24"/>
              </w:rPr>
              <w:t>3</w:t>
            </w:r>
            <w:r>
              <w:rPr>
                <w:rFonts w:hint="eastAsia" w:ascii="宋体" w:hAnsi="宋体" w:eastAsia="宋体"/>
                <w:bCs/>
                <w:kern w:val="0"/>
                <w:sz w:val="24"/>
                <w:szCs w:val="24"/>
              </w:rPr>
              <w:t>.《人才培养方案》高职院校汇编；</w:t>
            </w:r>
          </w:p>
          <w:p>
            <w:pPr>
              <w:rPr>
                <w:rFonts w:ascii="宋体" w:hAnsi="宋体" w:eastAsia="宋体"/>
                <w:bCs/>
                <w:kern w:val="0"/>
                <w:sz w:val="24"/>
                <w:szCs w:val="24"/>
              </w:rPr>
            </w:pPr>
            <w:r>
              <w:rPr>
                <w:rFonts w:hint="eastAsia" w:ascii="宋体" w:hAnsi="宋体" w:eastAsia="宋体"/>
                <w:bCs/>
                <w:kern w:val="0"/>
                <w:sz w:val="24"/>
                <w:szCs w:val="24"/>
              </w:rPr>
              <w:t>4</w:t>
            </w:r>
            <w:r>
              <w:rPr>
                <w:rFonts w:ascii="宋体" w:hAnsi="宋体" w:eastAsia="宋体"/>
                <w:bCs/>
                <w:kern w:val="0"/>
                <w:sz w:val="24"/>
                <w:szCs w:val="24"/>
              </w:rPr>
              <w:t xml:space="preserve">. </w:t>
            </w:r>
            <w:r>
              <w:rPr>
                <w:rFonts w:hint="eastAsia" w:ascii="宋体" w:hAnsi="宋体" w:eastAsia="宋体"/>
                <w:bCs/>
                <w:kern w:val="0"/>
                <w:sz w:val="24"/>
                <w:szCs w:val="24"/>
              </w:rPr>
              <w:t>互联网+教学平台PC端、移动端功能截图及软件著作权证书；</w:t>
            </w:r>
          </w:p>
          <w:p>
            <w:pPr>
              <w:rPr>
                <w:rFonts w:ascii="宋体" w:hAnsi="宋体" w:eastAsia="宋体"/>
                <w:bCs/>
                <w:kern w:val="0"/>
                <w:sz w:val="24"/>
                <w:szCs w:val="24"/>
              </w:rPr>
            </w:pPr>
            <w:r>
              <w:rPr>
                <w:rFonts w:ascii="宋体" w:hAnsi="宋体" w:eastAsia="宋体"/>
                <w:kern w:val="0"/>
                <w:sz w:val="24"/>
                <w:szCs w:val="24"/>
              </w:rPr>
              <w:t>5.</w:t>
            </w:r>
            <w:r>
              <w:rPr>
                <w:rFonts w:hint="eastAsia" w:ascii="宋体" w:hAnsi="宋体" w:eastAsia="宋体"/>
                <w:bCs/>
                <w:kern w:val="0"/>
                <w:sz w:val="24"/>
                <w:szCs w:val="24"/>
              </w:rPr>
              <w:t>互联网+教学模式讲师端及学生端实景授课照片；</w:t>
            </w:r>
          </w:p>
          <w:p>
            <w:pPr>
              <w:rPr>
                <w:rFonts w:ascii="宋体" w:hAnsi="宋体" w:eastAsia="宋体"/>
                <w:bCs/>
                <w:kern w:val="0"/>
                <w:sz w:val="24"/>
                <w:szCs w:val="24"/>
              </w:rPr>
            </w:pPr>
            <w:r>
              <w:rPr>
                <w:rFonts w:ascii="宋体" w:hAnsi="宋体" w:eastAsia="宋体"/>
                <w:bCs/>
                <w:kern w:val="0"/>
                <w:sz w:val="24"/>
                <w:szCs w:val="24"/>
              </w:rPr>
              <w:t>6.</w:t>
            </w:r>
            <w:r>
              <w:rPr>
                <w:rFonts w:hint="eastAsia" w:ascii="宋体" w:hAnsi="宋体" w:eastAsia="宋体"/>
                <w:bCs/>
                <w:kern w:val="0"/>
                <w:sz w:val="24"/>
                <w:szCs w:val="24"/>
              </w:rPr>
              <w:t>2</w:t>
            </w:r>
            <w:r>
              <w:rPr>
                <w:rFonts w:ascii="宋体" w:hAnsi="宋体" w:eastAsia="宋体"/>
                <w:bCs/>
                <w:kern w:val="0"/>
                <w:sz w:val="24"/>
                <w:szCs w:val="24"/>
              </w:rPr>
              <w:t>018年</w:t>
            </w:r>
            <w:r>
              <w:rPr>
                <w:rFonts w:hint="eastAsia" w:ascii="宋体" w:hAnsi="宋体" w:eastAsia="宋体"/>
                <w:bCs/>
                <w:kern w:val="0"/>
                <w:sz w:val="24"/>
                <w:szCs w:val="24"/>
              </w:rPr>
              <w:t>1月1日后国家级竞赛（包括全国职业院校技能大赛、中国软件杯、蓝桥杯等3项赛事）二等奖及以上获奖证明1项。</w:t>
            </w:r>
          </w:p>
          <w:p>
            <w:pPr>
              <w:rPr>
                <w:rFonts w:ascii="宋体" w:hAnsi="宋体" w:eastAsia="宋体"/>
                <w:bCs/>
                <w:kern w:val="0"/>
                <w:sz w:val="24"/>
                <w:szCs w:val="24"/>
              </w:rPr>
            </w:pPr>
            <w:r>
              <w:rPr>
                <w:rFonts w:hint="eastAsia" w:ascii="宋体" w:hAnsi="宋体" w:eastAsia="宋体"/>
                <w:bCs/>
                <w:kern w:val="0"/>
                <w:sz w:val="24"/>
                <w:szCs w:val="24"/>
              </w:rPr>
              <w:t>以上</w:t>
            </w:r>
            <w:r>
              <w:rPr>
                <w:rFonts w:ascii="宋体" w:hAnsi="宋体" w:eastAsia="宋体"/>
                <w:bCs/>
                <w:kern w:val="0"/>
                <w:sz w:val="24"/>
                <w:szCs w:val="24"/>
              </w:rPr>
              <w:t>6</w:t>
            </w:r>
            <w:r>
              <w:rPr>
                <w:rFonts w:hint="eastAsia" w:ascii="宋体" w:hAnsi="宋体" w:eastAsia="宋体"/>
                <w:bCs/>
                <w:kern w:val="0"/>
                <w:sz w:val="24"/>
                <w:szCs w:val="24"/>
              </w:rPr>
              <w:t>项响应内容必须按照要求提供证明材料，每项2</w:t>
            </w:r>
            <w:r>
              <w:rPr>
                <w:rFonts w:ascii="宋体" w:hAnsi="宋体" w:eastAsia="宋体"/>
                <w:bCs/>
                <w:kern w:val="0"/>
                <w:sz w:val="24"/>
                <w:szCs w:val="24"/>
              </w:rPr>
              <w:t>.5</w:t>
            </w:r>
            <w:r>
              <w:rPr>
                <w:rFonts w:hint="eastAsia" w:ascii="宋体" w:hAnsi="宋体" w:eastAsia="宋体"/>
                <w:bCs/>
                <w:kern w:val="0"/>
                <w:sz w:val="24"/>
                <w:szCs w:val="24"/>
              </w:rPr>
              <w:t>分，未提供的不得分，未完整提供的酌情扣分。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kern w:val="0"/>
                <w:sz w:val="24"/>
                <w:szCs w:val="24"/>
              </w:rPr>
            </w:pPr>
            <w:r>
              <w:rPr>
                <w:rFonts w:ascii="宋体" w:hAnsi="宋体" w:eastAsia="宋体"/>
                <w:bCs/>
                <w:kern w:val="0"/>
                <w:sz w:val="24"/>
                <w:szCs w:val="24"/>
              </w:rPr>
              <w:t>15</w:t>
            </w:r>
            <w:r>
              <w:rPr>
                <w:rFonts w:hint="eastAsia" w:ascii="宋体" w:hAnsi="宋体" w:eastAsia="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bCs/>
                <w:kern w:val="0"/>
                <w:sz w:val="24"/>
                <w:szCs w:val="24"/>
              </w:rPr>
              <w:t>教学队伍建设与培训服务</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bCs/>
                <w:kern w:val="0"/>
                <w:sz w:val="24"/>
                <w:szCs w:val="24"/>
              </w:rPr>
            </w:pPr>
            <w:r>
              <w:rPr>
                <w:rFonts w:hint="eastAsia" w:ascii="宋体" w:hAnsi="宋体" w:eastAsia="宋体"/>
                <w:bCs/>
                <w:kern w:val="0"/>
                <w:sz w:val="24"/>
                <w:szCs w:val="24"/>
              </w:rPr>
              <w:t>针对磋商文件中提出的教学队伍建设与培训服务要求编制技术文件，需提供如下证明材料：</w:t>
            </w:r>
          </w:p>
          <w:p>
            <w:pPr>
              <w:rPr>
                <w:rFonts w:ascii="宋体" w:hAnsi="宋体" w:eastAsia="宋体"/>
                <w:b/>
                <w:bCs/>
                <w:kern w:val="0"/>
                <w:sz w:val="24"/>
                <w:szCs w:val="24"/>
              </w:rPr>
            </w:pPr>
            <w:r>
              <w:rPr>
                <w:rFonts w:hint="eastAsia" w:ascii="宋体" w:hAnsi="宋体" w:eastAsia="宋体"/>
                <w:bCs/>
                <w:kern w:val="0"/>
                <w:sz w:val="24"/>
                <w:szCs w:val="24"/>
              </w:rPr>
              <w:t>1</w:t>
            </w:r>
            <w:r>
              <w:rPr>
                <w:rFonts w:ascii="宋体" w:hAnsi="宋体" w:eastAsia="宋体"/>
                <w:bCs/>
                <w:kern w:val="0"/>
                <w:sz w:val="24"/>
                <w:szCs w:val="24"/>
              </w:rPr>
              <w:t>.</w:t>
            </w:r>
            <w:r>
              <w:rPr>
                <w:rFonts w:hint="eastAsia" w:ascii="宋体" w:hAnsi="宋体" w:eastAsia="宋体"/>
                <w:bCs/>
                <w:kern w:val="0"/>
                <w:sz w:val="24"/>
                <w:szCs w:val="24"/>
              </w:rPr>
              <w:t>《教学团队（至少包括学工副主任、专职班主任等，下同）人员信息表及带班配置》；</w:t>
            </w:r>
            <w:r>
              <w:rPr>
                <w:rFonts w:ascii="宋体" w:hAnsi="宋体" w:eastAsia="宋体"/>
                <w:bCs/>
                <w:kern w:val="0"/>
                <w:sz w:val="24"/>
                <w:szCs w:val="24"/>
              </w:rPr>
              <w:br w:type="textWrapping"/>
            </w:r>
            <w:r>
              <w:rPr>
                <w:rFonts w:ascii="宋体" w:hAnsi="宋体" w:eastAsia="宋体"/>
                <w:bCs/>
                <w:kern w:val="0"/>
                <w:sz w:val="24"/>
                <w:szCs w:val="24"/>
              </w:rPr>
              <w:t>2.</w:t>
            </w:r>
            <w:r>
              <w:rPr>
                <w:rFonts w:hint="eastAsia" w:ascii="宋体" w:hAnsi="宋体" w:eastAsia="宋体"/>
                <w:bCs/>
                <w:kern w:val="0"/>
                <w:sz w:val="24"/>
                <w:szCs w:val="24"/>
              </w:rPr>
              <w:t>《教学团队学历证明：毕业证、学位证》；</w:t>
            </w:r>
          </w:p>
          <w:p>
            <w:pPr>
              <w:rPr>
                <w:rFonts w:ascii="宋体" w:hAnsi="宋体" w:eastAsia="宋体"/>
                <w:bCs/>
                <w:kern w:val="0"/>
                <w:sz w:val="24"/>
                <w:szCs w:val="24"/>
              </w:rPr>
            </w:pPr>
            <w:r>
              <w:rPr>
                <w:rFonts w:ascii="宋体" w:hAnsi="宋体" w:eastAsia="宋体"/>
                <w:bCs/>
                <w:kern w:val="0"/>
                <w:sz w:val="24"/>
                <w:szCs w:val="24"/>
              </w:rPr>
              <w:t>3.</w:t>
            </w:r>
            <w:r>
              <w:rPr>
                <w:rFonts w:hint="eastAsia" w:ascii="宋体" w:hAnsi="宋体" w:eastAsia="宋体"/>
                <w:bCs/>
                <w:kern w:val="0"/>
                <w:sz w:val="24"/>
                <w:szCs w:val="24"/>
              </w:rPr>
              <w:t>《教学团队资质证明：教师资格证或软考中级及以上证书》；</w:t>
            </w:r>
          </w:p>
          <w:p>
            <w:pPr>
              <w:rPr>
                <w:rFonts w:ascii="宋体" w:hAnsi="宋体" w:eastAsia="宋体"/>
                <w:bCs/>
                <w:kern w:val="0"/>
                <w:sz w:val="24"/>
                <w:szCs w:val="24"/>
              </w:rPr>
            </w:pPr>
            <w:r>
              <w:rPr>
                <w:rFonts w:ascii="宋体" w:hAnsi="宋体" w:eastAsia="宋体"/>
                <w:bCs/>
                <w:kern w:val="0"/>
                <w:sz w:val="24"/>
                <w:szCs w:val="24"/>
              </w:rPr>
              <w:t>4.</w:t>
            </w:r>
            <w:r>
              <w:rPr>
                <w:rFonts w:hint="eastAsia" w:ascii="宋体" w:hAnsi="宋体" w:eastAsia="宋体"/>
                <w:bCs/>
                <w:kern w:val="0"/>
                <w:sz w:val="24"/>
                <w:szCs w:val="24"/>
              </w:rPr>
              <w:t>《师资培训方案及培训现场照片》，照片不少于1</w:t>
            </w:r>
            <w:r>
              <w:rPr>
                <w:rFonts w:ascii="宋体" w:hAnsi="宋体" w:eastAsia="宋体"/>
                <w:bCs/>
                <w:kern w:val="0"/>
                <w:sz w:val="24"/>
                <w:szCs w:val="24"/>
              </w:rPr>
              <w:t>0</w:t>
            </w:r>
            <w:r>
              <w:rPr>
                <w:rFonts w:hint="eastAsia" w:ascii="宋体" w:hAnsi="宋体" w:eastAsia="宋体"/>
                <w:bCs/>
                <w:kern w:val="0"/>
                <w:sz w:val="24"/>
                <w:szCs w:val="24"/>
              </w:rPr>
              <w:t>张，培训时间在2</w:t>
            </w:r>
            <w:r>
              <w:rPr>
                <w:rFonts w:ascii="宋体" w:hAnsi="宋体" w:eastAsia="宋体"/>
                <w:bCs/>
                <w:kern w:val="0"/>
                <w:sz w:val="24"/>
                <w:szCs w:val="24"/>
              </w:rPr>
              <w:t>018</w:t>
            </w:r>
            <w:r>
              <w:rPr>
                <w:rFonts w:hint="eastAsia" w:ascii="宋体" w:hAnsi="宋体" w:eastAsia="宋体"/>
                <w:bCs/>
                <w:kern w:val="0"/>
                <w:sz w:val="24"/>
                <w:szCs w:val="24"/>
              </w:rPr>
              <w:t>年1月1日后。</w:t>
            </w:r>
            <w:r>
              <w:rPr>
                <w:rFonts w:ascii="宋体" w:hAnsi="宋体" w:eastAsia="宋体"/>
                <w:bCs/>
                <w:kern w:val="0"/>
                <w:sz w:val="24"/>
                <w:szCs w:val="24"/>
              </w:rPr>
              <w:br w:type="textWrapping"/>
            </w:r>
            <w:r>
              <w:rPr>
                <w:rFonts w:hint="eastAsia" w:ascii="宋体" w:hAnsi="宋体" w:eastAsia="宋体"/>
                <w:bCs/>
                <w:kern w:val="0"/>
                <w:sz w:val="24"/>
                <w:szCs w:val="24"/>
              </w:rPr>
              <w:t>以上</w:t>
            </w:r>
            <w:r>
              <w:rPr>
                <w:rFonts w:ascii="宋体" w:hAnsi="宋体" w:eastAsia="宋体"/>
                <w:bCs/>
                <w:kern w:val="0"/>
                <w:sz w:val="24"/>
                <w:szCs w:val="24"/>
              </w:rPr>
              <w:t>4</w:t>
            </w:r>
            <w:r>
              <w:rPr>
                <w:rFonts w:hint="eastAsia" w:ascii="宋体" w:hAnsi="宋体" w:eastAsia="宋体"/>
                <w:bCs/>
                <w:kern w:val="0"/>
                <w:sz w:val="24"/>
                <w:szCs w:val="24"/>
              </w:rPr>
              <w:t>项响应内容必须按照要求提供证明材料，每项</w:t>
            </w:r>
            <w:r>
              <w:rPr>
                <w:rFonts w:ascii="宋体" w:hAnsi="宋体" w:eastAsia="宋体"/>
                <w:bCs/>
                <w:kern w:val="0"/>
                <w:sz w:val="24"/>
                <w:szCs w:val="24"/>
              </w:rPr>
              <w:t>1</w:t>
            </w:r>
            <w:r>
              <w:rPr>
                <w:rFonts w:hint="eastAsia" w:ascii="宋体" w:hAnsi="宋体" w:eastAsia="宋体"/>
                <w:bCs/>
                <w:kern w:val="0"/>
                <w:sz w:val="24"/>
                <w:szCs w:val="24"/>
              </w:rPr>
              <w:t>分，未提供的不得分，未完整提供的酌情扣分。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kern w:val="0"/>
                <w:sz w:val="24"/>
                <w:szCs w:val="24"/>
              </w:rPr>
            </w:pPr>
            <w:r>
              <w:rPr>
                <w:rFonts w:ascii="宋体" w:hAnsi="宋体" w:eastAsia="宋体"/>
                <w:bCs/>
                <w:kern w:val="0"/>
                <w:sz w:val="24"/>
                <w:szCs w:val="24"/>
              </w:rPr>
              <w:t>4</w:t>
            </w:r>
            <w:r>
              <w:rPr>
                <w:rFonts w:hint="eastAsia" w:ascii="宋体" w:hAnsi="宋体" w:eastAsia="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 w:val="24"/>
                <w:szCs w:val="24"/>
              </w:rPr>
            </w:pPr>
            <w:r>
              <w:rPr>
                <w:rFonts w:hint="eastAsia" w:ascii="宋体" w:hAnsi="宋体" w:eastAsia="宋体" w:cs="宋体"/>
                <w:bCs/>
                <w:kern w:val="0"/>
                <w:sz w:val="24"/>
                <w:szCs w:val="24"/>
              </w:rPr>
              <w:t>学工管理服务</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bCs/>
                <w:kern w:val="0"/>
                <w:sz w:val="24"/>
                <w:szCs w:val="24"/>
              </w:rPr>
            </w:pPr>
            <w:r>
              <w:rPr>
                <w:rFonts w:hint="eastAsia" w:ascii="宋体" w:hAnsi="宋体" w:eastAsia="宋体"/>
                <w:bCs/>
                <w:kern w:val="0"/>
                <w:sz w:val="24"/>
                <w:szCs w:val="24"/>
              </w:rPr>
              <w:t>针对磋商文件中提出的学工管理服务要求编制技术文件，需提供如下证明材料：</w:t>
            </w:r>
          </w:p>
          <w:p>
            <w:pPr>
              <w:rPr>
                <w:rFonts w:ascii="宋体" w:hAnsi="宋体" w:eastAsia="宋体"/>
                <w:bCs/>
                <w:kern w:val="0"/>
                <w:sz w:val="24"/>
                <w:szCs w:val="24"/>
              </w:rPr>
            </w:pPr>
            <w:r>
              <w:rPr>
                <w:rFonts w:hint="eastAsia" w:ascii="宋体" w:hAnsi="宋体" w:eastAsia="宋体"/>
                <w:bCs/>
                <w:kern w:val="0"/>
                <w:sz w:val="24"/>
                <w:szCs w:val="24"/>
              </w:rPr>
              <w:t>1</w:t>
            </w:r>
            <w:r>
              <w:rPr>
                <w:rFonts w:ascii="宋体" w:hAnsi="宋体" w:eastAsia="宋体"/>
                <w:bCs/>
                <w:kern w:val="0"/>
                <w:sz w:val="24"/>
                <w:szCs w:val="24"/>
              </w:rPr>
              <w:t>.汇编成册的</w:t>
            </w:r>
            <w:r>
              <w:rPr>
                <w:rFonts w:hint="eastAsia" w:ascii="宋体" w:hAnsi="宋体" w:eastAsia="宋体"/>
                <w:bCs/>
                <w:kern w:val="0"/>
                <w:sz w:val="24"/>
                <w:szCs w:val="24"/>
              </w:rPr>
              <w:t>《学工副主任岗位工作标准化》手册；</w:t>
            </w:r>
          </w:p>
          <w:p>
            <w:pPr>
              <w:rPr>
                <w:rFonts w:ascii="宋体" w:hAnsi="宋体" w:eastAsia="宋体"/>
                <w:bCs/>
                <w:kern w:val="0"/>
                <w:sz w:val="24"/>
                <w:szCs w:val="24"/>
              </w:rPr>
            </w:pPr>
            <w:r>
              <w:rPr>
                <w:rFonts w:ascii="宋体" w:hAnsi="宋体" w:eastAsia="宋体"/>
                <w:bCs/>
                <w:kern w:val="0"/>
                <w:sz w:val="24"/>
                <w:szCs w:val="24"/>
              </w:rPr>
              <w:t>2.汇编成册的</w:t>
            </w:r>
            <w:r>
              <w:rPr>
                <w:rFonts w:hint="eastAsia" w:ascii="宋体" w:hAnsi="宋体" w:eastAsia="宋体"/>
                <w:bCs/>
                <w:kern w:val="0"/>
                <w:sz w:val="24"/>
                <w:szCs w:val="24"/>
              </w:rPr>
              <w:t>《班主任岗位工作标准化》手册；</w:t>
            </w:r>
          </w:p>
          <w:p>
            <w:pPr>
              <w:rPr>
                <w:rFonts w:ascii="宋体" w:hAnsi="宋体" w:eastAsia="宋体"/>
                <w:bCs/>
                <w:kern w:val="0"/>
                <w:sz w:val="24"/>
                <w:szCs w:val="24"/>
              </w:rPr>
            </w:pPr>
            <w:r>
              <w:rPr>
                <w:rFonts w:ascii="宋体" w:hAnsi="宋体" w:eastAsia="宋体"/>
                <w:bCs/>
                <w:kern w:val="0"/>
                <w:sz w:val="24"/>
                <w:szCs w:val="24"/>
              </w:rPr>
              <w:t>3.汇编成册的</w:t>
            </w:r>
            <w:r>
              <w:rPr>
                <w:rFonts w:hint="eastAsia" w:ascii="宋体" w:hAnsi="宋体" w:eastAsia="宋体"/>
                <w:bCs/>
                <w:kern w:val="0"/>
                <w:sz w:val="24"/>
                <w:szCs w:val="24"/>
              </w:rPr>
              <w:t>《学生干部工作标准化》手册；</w:t>
            </w:r>
            <w:r>
              <w:rPr>
                <w:rFonts w:ascii="宋体" w:hAnsi="宋体" w:eastAsia="宋体"/>
                <w:b/>
                <w:bCs/>
                <w:kern w:val="0"/>
                <w:sz w:val="24"/>
                <w:szCs w:val="24"/>
              </w:rPr>
              <w:br w:type="textWrapping"/>
            </w:r>
            <w:r>
              <w:rPr>
                <w:rFonts w:ascii="宋体" w:hAnsi="宋体" w:eastAsia="宋体"/>
                <w:bCs/>
                <w:kern w:val="0"/>
                <w:sz w:val="24"/>
                <w:szCs w:val="24"/>
              </w:rPr>
              <w:t>4.</w:t>
            </w:r>
            <w:r>
              <w:rPr>
                <w:rFonts w:hint="eastAsia" w:ascii="宋体" w:hAnsi="宋体" w:eastAsia="宋体"/>
                <w:bCs/>
                <w:kern w:val="0"/>
                <w:sz w:val="24"/>
                <w:szCs w:val="24"/>
              </w:rPr>
              <w:t>《大学生心理健康教育》教材,提供：教材ISBN清单、封面页、版权页、目录页；</w:t>
            </w:r>
            <w:r>
              <w:rPr>
                <w:rFonts w:ascii="宋体" w:hAnsi="宋体" w:eastAsia="宋体"/>
                <w:bCs/>
                <w:kern w:val="0"/>
                <w:sz w:val="24"/>
                <w:szCs w:val="24"/>
              </w:rPr>
              <w:br w:type="textWrapping"/>
            </w:r>
            <w:r>
              <w:rPr>
                <w:rFonts w:hint="eastAsia" w:ascii="宋体" w:hAnsi="宋体" w:eastAsia="宋体"/>
                <w:bCs/>
                <w:kern w:val="0"/>
                <w:sz w:val="24"/>
                <w:szCs w:val="24"/>
              </w:rPr>
              <w:t>5.《大学生职业素质提升》教材,提供：教材ISBN清单、封面页、版权页、目录页；</w:t>
            </w:r>
          </w:p>
          <w:p>
            <w:pPr>
              <w:rPr>
                <w:rFonts w:ascii="宋体" w:hAnsi="宋体" w:eastAsia="宋体"/>
                <w:bCs/>
                <w:kern w:val="0"/>
                <w:sz w:val="24"/>
                <w:szCs w:val="24"/>
              </w:rPr>
            </w:pPr>
            <w:r>
              <w:rPr>
                <w:rFonts w:hint="eastAsia" w:ascii="宋体" w:hAnsi="宋体" w:eastAsia="宋体"/>
                <w:bCs/>
                <w:kern w:val="0"/>
                <w:sz w:val="24"/>
                <w:szCs w:val="24"/>
              </w:rPr>
              <w:t>6</w:t>
            </w:r>
            <w:r>
              <w:rPr>
                <w:rFonts w:ascii="宋体" w:hAnsi="宋体" w:eastAsia="宋体"/>
                <w:bCs/>
                <w:kern w:val="0"/>
                <w:sz w:val="24"/>
                <w:szCs w:val="24"/>
              </w:rPr>
              <w:t>.</w:t>
            </w:r>
            <w:r>
              <w:rPr>
                <w:rFonts w:hint="eastAsia" w:ascii="宋体" w:hAnsi="宋体" w:eastAsia="宋体"/>
                <w:bCs/>
                <w:kern w:val="0"/>
                <w:sz w:val="24"/>
                <w:szCs w:val="24"/>
              </w:rPr>
              <w:t>提供已完成的高职院校《学生管理过程数据记录汇编手册》，手册必须对学生学习全过程管理进行记录，记录周期不少于5个月；</w:t>
            </w:r>
          </w:p>
          <w:p>
            <w:pPr>
              <w:rPr>
                <w:rFonts w:ascii="宋体" w:hAnsi="宋体" w:eastAsia="宋体"/>
                <w:bCs/>
                <w:kern w:val="0"/>
                <w:sz w:val="24"/>
                <w:szCs w:val="24"/>
              </w:rPr>
            </w:pPr>
            <w:r>
              <w:rPr>
                <w:rFonts w:hint="eastAsia" w:ascii="宋体" w:hAnsi="宋体" w:eastAsia="宋体"/>
                <w:bCs/>
                <w:kern w:val="0"/>
                <w:sz w:val="24"/>
                <w:szCs w:val="24"/>
              </w:rPr>
              <w:t>7</w:t>
            </w:r>
            <w:r>
              <w:rPr>
                <w:rFonts w:ascii="宋体" w:hAnsi="宋体" w:eastAsia="宋体"/>
                <w:bCs/>
                <w:kern w:val="0"/>
                <w:sz w:val="24"/>
                <w:szCs w:val="24"/>
              </w:rPr>
              <w:t>.提供</w:t>
            </w:r>
            <w:r>
              <w:rPr>
                <w:rFonts w:hint="eastAsia" w:ascii="宋体" w:hAnsi="宋体" w:eastAsia="宋体"/>
                <w:bCs/>
                <w:kern w:val="0"/>
                <w:sz w:val="24"/>
                <w:szCs w:val="24"/>
              </w:rPr>
              <w:t>《特长人才组织架构》及《特长人才培养方案》；提供汇编的《学生个人成长目标》1份及5张及以上宣传栏照片；提供不少于14个《班委培训课件》PPT及《班委培训计划表》、《班委培训反馈表》；</w:t>
            </w:r>
            <w:r>
              <w:rPr>
                <w:rFonts w:ascii="宋体" w:hAnsi="宋体" w:eastAsia="宋体"/>
                <w:bCs/>
                <w:kern w:val="0"/>
                <w:sz w:val="24"/>
                <w:szCs w:val="24"/>
              </w:rPr>
              <w:br w:type="textWrapping"/>
            </w:r>
            <w:r>
              <w:rPr>
                <w:rFonts w:ascii="宋体" w:hAnsi="宋体" w:eastAsia="宋体"/>
                <w:bCs/>
                <w:kern w:val="0"/>
                <w:sz w:val="24"/>
                <w:szCs w:val="24"/>
              </w:rPr>
              <w:t>8.提供</w:t>
            </w:r>
            <w:r>
              <w:rPr>
                <w:rFonts w:hint="eastAsia" w:ascii="宋体" w:hAnsi="宋体" w:eastAsia="宋体"/>
                <w:bCs/>
                <w:kern w:val="0"/>
                <w:sz w:val="24"/>
                <w:szCs w:val="24"/>
              </w:rPr>
              <w:t>《爱的教育-学生培养理念体系》课件和</w:t>
            </w:r>
            <w:r>
              <w:rPr>
                <w:rFonts w:hint="eastAsia" w:ascii="宋体" w:hAnsi="宋体" w:eastAsia="宋体" w:cs="Times New Roman"/>
                <w:sz w:val="24"/>
                <w:szCs w:val="24"/>
              </w:rPr>
              <w:t>学生综合素质提升活动的类型设置方案等</w:t>
            </w:r>
            <w:r>
              <w:rPr>
                <w:rFonts w:hint="eastAsia" w:ascii="宋体" w:hAnsi="宋体" w:eastAsia="宋体"/>
                <w:bCs/>
                <w:kern w:val="0"/>
                <w:sz w:val="24"/>
                <w:szCs w:val="24"/>
              </w:rPr>
              <w:t>；</w:t>
            </w:r>
            <w:r>
              <w:rPr>
                <w:rFonts w:ascii="宋体" w:hAnsi="宋体" w:eastAsia="宋体"/>
                <w:bCs/>
                <w:kern w:val="0"/>
                <w:sz w:val="24"/>
                <w:szCs w:val="24"/>
              </w:rPr>
              <w:br w:type="textWrapping"/>
            </w:r>
            <w:r>
              <w:rPr>
                <w:rFonts w:hint="eastAsia" w:ascii="宋体" w:hAnsi="宋体" w:eastAsia="宋体"/>
                <w:bCs/>
                <w:kern w:val="0"/>
                <w:sz w:val="24"/>
                <w:szCs w:val="24"/>
              </w:rPr>
              <w:t>以上</w:t>
            </w:r>
            <w:r>
              <w:rPr>
                <w:rFonts w:ascii="宋体" w:hAnsi="宋体" w:eastAsia="宋体"/>
                <w:bCs/>
                <w:kern w:val="0"/>
                <w:sz w:val="24"/>
                <w:szCs w:val="24"/>
              </w:rPr>
              <w:t>8</w:t>
            </w:r>
            <w:r>
              <w:rPr>
                <w:rFonts w:hint="eastAsia" w:ascii="宋体" w:hAnsi="宋体" w:eastAsia="宋体"/>
                <w:bCs/>
                <w:kern w:val="0"/>
                <w:sz w:val="24"/>
                <w:szCs w:val="24"/>
              </w:rPr>
              <w:t>项响应内容必须按照要求提供证明材料，每项</w:t>
            </w:r>
            <w:r>
              <w:rPr>
                <w:rFonts w:ascii="宋体" w:hAnsi="宋体" w:eastAsia="宋体"/>
                <w:bCs/>
                <w:kern w:val="0"/>
                <w:sz w:val="24"/>
                <w:szCs w:val="24"/>
              </w:rPr>
              <w:t>2</w:t>
            </w:r>
            <w:r>
              <w:rPr>
                <w:rFonts w:hint="eastAsia" w:ascii="宋体" w:hAnsi="宋体" w:eastAsia="宋体"/>
                <w:bCs/>
                <w:kern w:val="0"/>
                <w:sz w:val="24"/>
                <w:szCs w:val="24"/>
              </w:rPr>
              <w:t>分，未提供的不得分，未完整提供的酌情扣分。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kern w:val="0"/>
                <w:sz w:val="24"/>
                <w:szCs w:val="24"/>
              </w:rPr>
            </w:pPr>
            <w:r>
              <w:rPr>
                <w:rFonts w:ascii="宋体" w:hAnsi="宋体" w:eastAsia="宋体"/>
                <w:bCs/>
                <w:kern w:val="0"/>
                <w:sz w:val="24"/>
                <w:szCs w:val="24"/>
              </w:rPr>
              <w:t>16</w:t>
            </w:r>
            <w:r>
              <w:rPr>
                <w:rFonts w:hint="eastAsia" w:ascii="宋体" w:hAnsi="宋体" w:eastAsia="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kern w:val="0"/>
                <w:sz w:val="24"/>
                <w:szCs w:val="24"/>
              </w:rPr>
            </w:pPr>
            <w:r>
              <w:rPr>
                <w:rFonts w:hint="eastAsia" w:ascii="宋体" w:hAnsi="宋体" w:eastAsia="宋体"/>
                <w:bCs/>
                <w:kern w:val="0"/>
                <w:sz w:val="24"/>
                <w:szCs w:val="24"/>
              </w:rPr>
              <w:t>就业安置服务</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Cambria Math"/>
                <w:kern w:val="0"/>
                <w:sz w:val="24"/>
                <w:szCs w:val="24"/>
              </w:rPr>
            </w:pPr>
            <w:r>
              <w:rPr>
                <w:rFonts w:hint="eastAsia" w:ascii="宋体" w:hAnsi="宋体" w:eastAsia="宋体"/>
                <w:bCs/>
                <w:kern w:val="0"/>
                <w:sz w:val="24"/>
                <w:szCs w:val="24"/>
              </w:rPr>
              <w:t>针对磋商文件就业安置服务要求编制技术文件，需提供如下证明材料：</w:t>
            </w:r>
            <w:r>
              <w:rPr>
                <w:rFonts w:ascii="宋体" w:hAnsi="宋体" w:eastAsia="宋体"/>
                <w:bCs/>
                <w:kern w:val="0"/>
                <w:sz w:val="24"/>
                <w:szCs w:val="24"/>
              </w:rPr>
              <w:t xml:space="preserve"> </w:t>
            </w:r>
            <w:r>
              <w:rPr>
                <w:rFonts w:ascii="宋体" w:hAnsi="宋体" w:eastAsia="宋体"/>
                <w:bCs/>
                <w:kern w:val="0"/>
                <w:sz w:val="24"/>
                <w:szCs w:val="24"/>
              </w:rPr>
              <w:br w:type="textWrapping"/>
            </w:r>
            <w:r>
              <w:rPr>
                <w:rFonts w:hint="eastAsia" w:ascii="宋体" w:hAnsi="宋体" w:eastAsia="宋体"/>
                <w:bCs/>
                <w:kern w:val="0"/>
                <w:sz w:val="24"/>
                <w:szCs w:val="24"/>
              </w:rPr>
              <w:t>1</w:t>
            </w:r>
            <w:r>
              <w:rPr>
                <w:rFonts w:ascii="宋体" w:hAnsi="宋体" w:eastAsia="宋体"/>
                <w:bCs/>
                <w:kern w:val="0"/>
                <w:sz w:val="24"/>
                <w:szCs w:val="24"/>
              </w:rPr>
              <w:t>.汇编成册的</w:t>
            </w:r>
            <w:r>
              <w:rPr>
                <w:rFonts w:hint="eastAsia" w:ascii="宋体" w:hAnsi="宋体" w:eastAsia="宋体"/>
                <w:bCs/>
                <w:kern w:val="0"/>
                <w:sz w:val="24"/>
                <w:szCs w:val="24"/>
              </w:rPr>
              <w:t>《就业指导老师岗位工作标准化》手册；</w:t>
            </w:r>
            <w:r>
              <w:rPr>
                <w:rFonts w:ascii="宋体" w:hAnsi="宋体" w:eastAsia="宋体"/>
                <w:bCs/>
                <w:kern w:val="0"/>
                <w:sz w:val="24"/>
                <w:szCs w:val="24"/>
              </w:rPr>
              <w:br w:type="textWrapping"/>
            </w:r>
            <w:r>
              <w:rPr>
                <w:rFonts w:ascii="宋体" w:hAnsi="宋体" w:eastAsia="宋体" w:cs="Cambria Math"/>
                <w:kern w:val="0"/>
                <w:sz w:val="24"/>
                <w:szCs w:val="24"/>
              </w:rPr>
              <w:t>2</w:t>
            </w:r>
            <w:r>
              <w:rPr>
                <w:rFonts w:ascii="宋体" w:hAnsi="宋体" w:eastAsia="宋体"/>
                <w:bCs/>
                <w:kern w:val="0"/>
                <w:sz w:val="24"/>
                <w:szCs w:val="24"/>
              </w:rPr>
              <w:t>.提供</w:t>
            </w:r>
            <w:r>
              <w:rPr>
                <w:rFonts w:hint="eastAsia" w:ascii="宋体" w:hAnsi="宋体" w:eastAsia="宋体"/>
                <w:bCs/>
                <w:kern w:val="0"/>
                <w:sz w:val="24"/>
                <w:szCs w:val="24"/>
              </w:rPr>
              <w:t>于2018年1月1日后与用人企业（系指IT互联网企业、高新技术企业、有独立的IT技术部门的企业等，同时汇总企业名单）合作的《人才合作协议》及企业营业执照；</w:t>
            </w:r>
            <w:r>
              <w:rPr>
                <w:rFonts w:ascii="宋体" w:hAnsi="宋体" w:eastAsia="宋体" w:cs="Cambria Math"/>
                <w:kern w:val="0"/>
                <w:sz w:val="24"/>
                <w:szCs w:val="24"/>
              </w:rPr>
              <w:t xml:space="preserve"> </w:t>
            </w:r>
          </w:p>
          <w:p>
            <w:pPr>
              <w:rPr>
                <w:rFonts w:ascii="宋体" w:hAnsi="宋体" w:eastAsia="宋体"/>
                <w:bCs/>
                <w:kern w:val="0"/>
                <w:sz w:val="24"/>
                <w:szCs w:val="24"/>
              </w:rPr>
            </w:pPr>
            <w:r>
              <w:rPr>
                <w:rFonts w:ascii="宋体" w:hAnsi="宋体" w:eastAsia="宋体" w:cs="Cambria Math"/>
                <w:kern w:val="0"/>
                <w:sz w:val="24"/>
                <w:szCs w:val="24"/>
              </w:rPr>
              <w:t>3.</w:t>
            </w:r>
            <w:r>
              <w:rPr>
                <w:rFonts w:ascii="宋体" w:hAnsi="宋体" w:eastAsia="宋体"/>
                <w:bCs/>
                <w:kern w:val="0"/>
                <w:sz w:val="24"/>
                <w:szCs w:val="24"/>
              </w:rPr>
              <w:t xml:space="preserve"> </w:t>
            </w:r>
            <w:r>
              <w:rPr>
                <w:rFonts w:hint="eastAsia" w:ascii="宋体" w:hAnsi="宋体" w:eastAsia="宋体"/>
                <w:bCs/>
                <w:kern w:val="0"/>
                <w:sz w:val="24"/>
                <w:szCs w:val="24"/>
              </w:rPr>
              <w:t>提供于2018年1月1日后与IT园区及人才市场签订的《合作协议》及授牌照片，数量不少于8份；</w:t>
            </w:r>
            <w:r>
              <w:rPr>
                <w:rFonts w:ascii="宋体" w:hAnsi="宋体" w:eastAsia="宋体"/>
                <w:bCs/>
                <w:kern w:val="0"/>
                <w:sz w:val="24"/>
                <w:szCs w:val="24"/>
              </w:rPr>
              <w:t xml:space="preserve"> </w:t>
            </w:r>
          </w:p>
          <w:p>
            <w:pPr>
              <w:rPr>
                <w:rFonts w:ascii="宋体" w:hAnsi="宋体" w:eastAsia="宋体"/>
                <w:bCs/>
                <w:kern w:val="0"/>
                <w:sz w:val="24"/>
                <w:szCs w:val="24"/>
              </w:rPr>
            </w:pPr>
            <w:r>
              <w:rPr>
                <w:rFonts w:hint="eastAsia" w:ascii="宋体" w:hAnsi="宋体" w:eastAsia="宋体"/>
                <w:bCs/>
                <w:kern w:val="0"/>
                <w:sz w:val="24"/>
                <w:szCs w:val="24"/>
              </w:rPr>
              <w:t>4</w:t>
            </w:r>
            <w:r>
              <w:rPr>
                <w:rFonts w:ascii="宋体" w:hAnsi="宋体" w:eastAsia="宋体"/>
                <w:bCs/>
                <w:kern w:val="0"/>
                <w:sz w:val="24"/>
                <w:szCs w:val="24"/>
              </w:rPr>
              <w:t>.</w:t>
            </w:r>
            <w:r>
              <w:rPr>
                <w:rFonts w:hint="eastAsia" w:ascii="宋体" w:hAnsi="宋体" w:eastAsia="宋体"/>
                <w:bCs/>
                <w:kern w:val="0"/>
                <w:sz w:val="24"/>
                <w:szCs w:val="24"/>
              </w:rPr>
              <w:t xml:space="preserve"> 于2018年1月1日后汇编成册的《实习就业指导手册》，有完整的高职院校学生的常见面试题且题目数量不少于5</w:t>
            </w:r>
            <w:r>
              <w:rPr>
                <w:rFonts w:ascii="宋体" w:hAnsi="宋体" w:eastAsia="宋体"/>
                <w:bCs/>
                <w:kern w:val="0"/>
                <w:sz w:val="24"/>
                <w:szCs w:val="24"/>
              </w:rPr>
              <w:t>00</w:t>
            </w:r>
            <w:r>
              <w:rPr>
                <w:rFonts w:hint="eastAsia" w:ascii="宋体" w:hAnsi="宋体" w:eastAsia="宋体"/>
                <w:bCs/>
                <w:kern w:val="0"/>
                <w:sz w:val="24"/>
                <w:szCs w:val="24"/>
              </w:rPr>
              <w:t>道；</w:t>
            </w:r>
          </w:p>
          <w:p>
            <w:pPr>
              <w:pStyle w:val="2"/>
              <w:rPr>
                <w:rFonts w:ascii="宋体" w:hAnsi="宋体" w:eastAsia="宋体"/>
                <w:bCs/>
                <w:kern w:val="0"/>
                <w:sz w:val="24"/>
              </w:rPr>
            </w:pPr>
            <w:r>
              <w:rPr>
                <w:rFonts w:hint="eastAsia" w:ascii="宋体" w:hAnsi="宋体" w:eastAsia="宋体"/>
                <w:bCs/>
                <w:kern w:val="0"/>
                <w:sz w:val="24"/>
              </w:rPr>
              <w:t>5</w:t>
            </w:r>
            <w:r>
              <w:rPr>
                <w:rFonts w:ascii="宋体" w:hAnsi="宋体" w:eastAsia="宋体"/>
                <w:bCs/>
                <w:kern w:val="0"/>
                <w:sz w:val="24"/>
              </w:rPr>
              <w:t>.</w:t>
            </w:r>
            <w:r>
              <w:rPr>
                <w:rFonts w:hint="eastAsia" w:ascii="宋体" w:hAnsi="宋体" w:eastAsia="宋体"/>
                <w:bCs/>
                <w:kern w:val="0"/>
                <w:sz w:val="24"/>
              </w:rPr>
              <w:t>组织高职院校学生开展实习就业指导课程，提供现场课程训练照片不少于20张及针对高职院校学生的自我介绍训练视频不少于50个（提供视频截图）；</w:t>
            </w:r>
          </w:p>
          <w:p>
            <w:pPr>
              <w:rPr>
                <w:rFonts w:ascii="宋体" w:hAnsi="宋体" w:eastAsia="宋体"/>
                <w:bCs/>
                <w:kern w:val="0"/>
                <w:sz w:val="24"/>
                <w:szCs w:val="24"/>
              </w:rPr>
            </w:pPr>
            <w:r>
              <w:rPr>
                <w:rFonts w:ascii="宋体" w:hAnsi="宋体" w:eastAsia="宋体"/>
                <w:bCs/>
                <w:kern w:val="0"/>
                <w:sz w:val="24"/>
                <w:szCs w:val="24"/>
              </w:rPr>
              <w:t>6.</w:t>
            </w:r>
            <w:r>
              <w:rPr>
                <w:rFonts w:hint="eastAsia" w:ascii="宋体" w:hAnsi="宋体" w:eastAsia="宋体"/>
                <w:bCs/>
                <w:kern w:val="0"/>
                <w:sz w:val="24"/>
                <w:szCs w:val="24"/>
              </w:rPr>
              <w:t>提供2018年1月1日后申请获批的就业安置管理平台功能模块系统界面截图及软件著作权证书；</w:t>
            </w:r>
          </w:p>
          <w:p>
            <w:pPr>
              <w:rPr>
                <w:rFonts w:ascii="宋体" w:hAnsi="宋体" w:eastAsia="宋体"/>
                <w:bCs/>
                <w:kern w:val="0"/>
                <w:sz w:val="24"/>
                <w:szCs w:val="24"/>
              </w:rPr>
            </w:pPr>
            <w:r>
              <w:rPr>
                <w:rFonts w:ascii="宋体" w:hAnsi="宋体" w:eastAsia="宋体"/>
                <w:bCs/>
                <w:kern w:val="0"/>
                <w:sz w:val="24"/>
                <w:szCs w:val="24"/>
              </w:rPr>
              <w:t>7.提供</w:t>
            </w:r>
            <w:r>
              <w:rPr>
                <w:rFonts w:hint="eastAsia" w:ascii="宋体" w:hAnsi="宋体" w:eastAsia="宋体"/>
                <w:bCs/>
                <w:kern w:val="0"/>
                <w:sz w:val="24"/>
                <w:szCs w:val="24"/>
              </w:rPr>
              <w:t>就业跟踪服务微信公众号后台截图，已注册高职学生人数不少于2000人；提供于2018年1月1日后签订的《中高级人才寻访服务合同》不少于1</w:t>
            </w:r>
            <w:r>
              <w:rPr>
                <w:rFonts w:ascii="宋体" w:hAnsi="宋体" w:eastAsia="宋体"/>
                <w:bCs/>
                <w:kern w:val="0"/>
                <w:sz w:val="24"/>
                <w:szCs w:val="24"/>
              </w:rPr>
              <w:t>0份</w:t>
            </w:r>
            <w:r>
              <w:rPr>
                <w:rFonts w:hint="eastAsia" w:ascii="宋体" w:hAnsi="宋体" w:eastAsia="宋体"/>
                <w:bCs/>
                <w:kern w:val="0"/>
                <w:sz w:val="24"/>
                <w:szCs w:val="24"/>
              </w:rPr>
              <w:t>、企业《入职通知书》不少于10份；提供第三方出具的《年度实习就业质量报告》封面和目录截图。</w:t>
            </w:r>
            <w:r>
              <w:rPr>
                <w:rFonts w:ascii="宋体" w:hAnsi="宋体" w:eastAsia="宋体" w:cs="宋体"/>
                <w:bCs/>
                <w:kern w:val="0"/>
                <w:sz w:val="24"/>
                <w:szCs w:val="24"/>
              </w:rPr>
              <w:br w:type="textWrapping"/>
            </w:r>
            <w:r>
              <w:rPr>
                <w:rFonts w:hint="eastAsia" w:ascii="宋体" w:hAnsi="宋体" w:eastAsia="宋体"/>
                <w:bCs/>
                <w:kern w:val="0"/>
                <w:sz w:val="24"/>
                <w:szCs w:val="24"/>
              </w:rPr>
              <w:t>以上</w:t>
            </w:r>
            <w:r>
              <w:rPr>
                <w:rFonts w:ascii="宋体" w:hAnsi="宋体" w:eastAsia="宋体"/>
                <w:bCs/>
                <w:kern w:val="0"/>
                <w:sz w:val="24"/>
                <w:szCs w:val="24"/>
              </w:rPr>
              <w:t>7</w:t>
            </w:r>
            <w:r>
              <w:rPr>
                <w:rFonts w:hint="eastAsia" w:ascii="宋体" w:hAnsi="宋体" w:eastAsia="宋体"/>
                <w:bCs/>
                <w:kern w:val="0"/>
                <w:sz w:val="24"/>
                <w:szCs w:val="24"/>
              </w:rPr>
              <w:t>项响应内容必须按照要求提供证明材料，每项</w:t>
            </w:r>
            <w:r>
              <w:rPr>
                <w:rFonts w:ascii="宋体" w:hAnsi="宋体" w:eastAsia="宋体"/>
                <w:bCs/>
                <w:kern w:val="0"/>
                <w:sz w:val="24"/>
                <w:szCs w:val="24"/>
              </w:rPr>
              <w:t>3</w:t>
            </w:r>
            <w:r>
              <w:rPr>
                <w:rFonts w:hint="eastAsia" w:ascii="宋体" w:hAnsi="宋体" w:eastAsia="宋体"/>
                <w:bCs/>
                <w:kern w:val="0"/>
                <w:sz w:val="24"/>
                <w:szCs w:val="24"/>
              </w:rPr>
              <w:t>分，未提供的不得分，未完整提供的酌情扣分。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kern w:val="0"/>
                <w:sz w:val="24"/>
                <w:szCs w:val="24"/>
              </w:rPr>
            </w:pPr>
            <w:r>
              <w:rPr>
                <w:rFonts w:ascii="宋体" w:hAnsi="宋体" w:eastAsia="宋体"/>
                <w:bCs/>
                <w:kern w:val="0"/>
                <w:sz w:val="24"/>
                <w:szCs w:val="24"/>
              </w:rPr>
              <w:t>21</w:t>
            </w:r>
            <w:r>
              <w:rPr>
                <w:rFonts w:hint="eastAsia" w:ascii="宋体" w:hAnsi="宋体" w:eastAsia="宋体"/>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现场勘查</w:t>
            </w:r>
          </w:p>
        </w:tc>
        <w:tc>
          <w:tcPr>
            <w:tcW w:w="219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供应商在开标前一周，必须到学校现场勘察，了解学校专业开设、学生培养以及教学条件等情况。经现场勘察沟通后，由学校开具现场勘察证明。提供现场勘察证明的得</w:t>
            </w:r>
            <w:r>
              <w:rPr>
                <w:rFonts w:ascii="宋体" w:hAnsi="宋体" w:eastAsia="宋体" w:cs="宋体"/>
                <w:bCs/>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kern w:val="0"/>
                <w:sz w:val="24"/>
                <w:szCs w:val="24"/>
                <w14:textFill>
                  <w14:solidFill>
                    <w14:schemeClr w14:val="tx1"/>
                  </w14:solidFill>
                </w14:textFill>
              </w:rPr>
              <w:t>分，未提供的不得分。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4</w:t>
            </w:r>
            <w:r>
              <w:rPr>
                <w:rFonts w:hint="eastAsia" w:ascii="宋体" w:hAnsi="宋体" w:eastAsia="宋体"/>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pct"/>
            <w:tcBorders>
              <w:left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价格分</w:t>
            </w:r>
          </w:p>
          <w:p>
            <w:pPr>
              <w:spacing w:line="360" w:lineRule="auto"/>
              <w:jc w:val="center"/>
              <w:rPr>
                <w:rFonts w:ascii="宋体" w:hAnsi="宋体" w:eastAsia="宋体"/>
                <w:b/>
                <w:bCs/>
                <w:sz w:val="24"/>
                <w:szCs w:val="24"/>
              </w:rPr>
            </w:pPr>
            <w:r>
              <w:rPr>
                <w:rFonts w:hint="eastAsia" w:ascii="宋体" w:hAnsi="宋体" w:eastAsia="宋体"/>
                <w:sz w:val="24"/>
                <w:szCs w:val="24"/>
              </w:rPr>
              <w:t>（</w:t>
            </w:r>
            <w:r>
              <w:rPr>
                <w:rFonts w:hint="eastAsia" w:ascii="宋体" w:hAnsi="宋体" w:eastAsia="宋体"/>
                <w:sz w:val="24"/>
                <w:szCs w:val="24"/>
                <w:u w:val="single"/>
              </w:rPr>
              <w:t xml:space="preserve"> 30  </w:t>
            </w:r>
            <w:r>
              <w:rPr>
                <w:rFonts w:hint="eastAsia" w:ascii="宋体" w:hAnsi="宋体" w:eastAsia="宋体"/>
                <w:sz w:val="24"/>
                <w:szCs w:val="24"/>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价格分统一采用低价优先法，即满足磋商文件要求且评标价最低的投标报价为评标基准价，其价格分为满分30分。其他供应商的价格分统一按照下列公式计算：</w:t>
            </w:r>
          </w:p>
          <w:p>
            <w:pPr>
              <w:spacing w:line="360" w:lineRule="auto"/>
              <w:rPr>
                <w:rFonts w:ascii="宋体" w:hAnsi="宋体" w:eastAsia="宋体"/>
                <w:sz w:val="24"/>
                <w:szCs w:val="24"/>
              </w:rPr>
            </w:pPr>
            <w:r>
              <w:rPr>
                <w:rFonts w:hint="eastAsia" w:ascii="宋体" w:hAnsi="宋体" w:eastAsia="宋体"/>
                <w:sz w:val="24"/>
                <w:szCs w:val="24"/>
              </w:rPr>
              <w:t>投标报价得分＝（评标基准价/投标报价）× 30</w:t>
            </w:r>
          </w:p>
        </w:tc>
      </w:tr>
    </w:tbl>
    <w:p>
      <w:pPr>
        <w:pStyle w:val="2"/>
        <w:rPr>
          <w:lang w:val="en-US"/>
        </w:rPr>
      </w:pPr>
    </w:p>
    <w:p>
      <w:pPr>
        <w:spacing w:line="360" w:lineRule="auto"/>
        <w:ind w:firstLine="435"/>
        <w:rPr>
          <w:rFonts w:ascii="宋体" w:hAnsi="宋体" w:eastAsia="宋体" w:cs="宋体"/>
          <w:sz w:val="24"/>
        </w:rPr>
      </w:pPr>
      <w:r>
        <w:rPr>
          <w:rFonts w:hint="eastAsia" w:ascii="宋体" w:hAnsi="宋体" w:eastAsia="宋体" w:cs="宋体"/>
          <w:sz w:val="24"/>
        </w:rPr>
        <w:t>2.2.3分值汇总</w:t>
      </w:r>
    </w:p>
    <w:p>
      <w:pPr>
        <w:spacing w:line="360" w:lineRule="auto"/>
        <w:ind w:firstLine="435"/>
        <w:rPr>
          <w:rFonts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pPr>
        <w:spacing w:line="360" w:lineRule="auto"/>
        <w:ind w:firstLine="435"/>
        <w:rPr>
          <w:rFonts w:ascii="宋体" w:hAnsi="宋体" w:eastAsia="宋体" w:cs="宋体"/>
          <w:sz w:val="24"/>
        </w:rPr>
      </w:pPr>
      <w:r>
        <w:rPr>
          <w:rFonts w:hint="eastAsia" w:ascii="宋体" w:hAnsi="宋体" w:eastAsia="宋体" w:cs="宋体"/>
          <w:sz w:val="24"/>
        </w:rPr>
        <w:t>（2）将每个供应商的技术资信分之和加上根据上述标准计算出的价格分，即为该供应商的综合总得分。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numPr>
          <w:ilvl w:val="0"/>
          <w:numId w:val="1"/>
        </w:num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 xml:space="preserve"> </w:t>
      </w:r>
      <w:bookmarkStart w:id="6" w:name="_Toc19665"/>
      <w:r>
        <w:rPr>
          <w:rFonts w:asciiTheme="minorEastAsia" w:hAnsiTheme="minorEastAsia" w:eastAsiaTheme="minorEastAsia"/>
          <w:b/>
          <w:sz w:val="28"/>
        </w:rPr>
        <w:t>政府采购合同</w:t>
      </w:r>
      <w:bookmarkEnd w:id="6"/>
    </w:p>
    <w:p>
      <w:pPr>
        <w:pStyle w:val="24"/>
        <w:ind w:left="0" w:leftChars="0" w:firstLine="0" w:firstLineChars="0"/>
        <w:jc w:val="center"/>
        <w:rPr>
          <w:rFonts w:ascii="宋体" w:hAnsi="宋体" w:eastAsia="宋体" w:cs="Times New Roman"/>
          <w:szCs w:val="21"/>
        </w:rPr>
      </w:pPr>
      <w:r>
        <w:rPr>
          <w:rFonts w:hint="eastAsia" w:ascii="宋体" w:hAnsi="宋体" w:eastAsia="宋体" w:cs="Times New Roman"/>
          <w:szCs w:val="21"/>
        </w:rPr>
        <w:t>（合同模板仅供参考，具体以实际签订为准）</w:t>
      </w: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360" w:lineRule="auto"/>
        <w:jc w:val="center"/>
        <w:outlineLvl w:val="2"/>
        <w:rPr>
          <w:rFonts w:ascii="宋体" w:hAnsi="宋体" w:eastAsia="宋体"/>
          <w:b/>
          <w:sz w:val="24"/>
        </w:rPr>
      </w:pPr>
      <w:r>
        <w:rPr>
          <w:rFonts w:hint="eastAsia" w:ascii="宋体" w:hAnsi="宋体" w:eastAsia="宋体"/>
          <w:b/>
          <w:sz w:val="24"/>
        </w:rPr>
        <w:t>第一部分 合同书</w:t>
      </w: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before="120" w:line="480" w:lineRule="auto"/>
        <w:ind w:left="960"/>
        <w:rPr>
          <w:rFonts w:ascii="宋体" w:hAnsi="宋体" w:eastAsia="宋体"/>
          <w:sz w:val="24"/>
          <w:u w:val="single"/>
        </w:rPr>
      </w:pPr>
      <w:r>
        <w:rPr>
          <w:rFonts w:hint="eastAsia" w:ascii="宋体" w:hAnsi="宋体" w:eastAsia="宋体"/>
          <w:sz w:val="24"/>
        </w:rPr>
        <w:t xml:space="preserve">项目名称：安徽交通职业技术学院校企合作特色专业购买服务 </w:t>
      </w:r>
    </w:p>
    <w:p>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 xml:space="preserve">         </w:t>
      </w:r>
    </w:p>
    <w:p>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安徽交通职业技术学院 </w:t>
      </w:r>
    </w:p>
    <w:p>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pPr>
        <w:spacing w:before="120" w:line="480" w:lineRule="auto"/>
        <w:ind w:firstLine="960" w:firstLineChars="400"/>
        <w:rPr>
          <w:rFonts w:ascii="宋体" w:hAnsi="宋体" w:eastAsia="宋体"/>
          <w:sz w:val="24"/>
          <w:u w:val="single"/>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pPr>
        <w:autoSpaceDE w:val="0"/>
        <w:autoSpaceDN w:val="0"/>
        <w:adjustRightInd w:val="0"/>
        <w:spacing w:line="600" w:lineRule="exact"/>
        <w:ind w:firstLine="640"/>
        <w:jc w:val="center"/>
        <w:rPr>
          <w:rFonts w:ascii="宋体" w:hAnsi="宋体" w:eastAsia="宋体"/>
          <w:sz w:val="24"/>
        </w:rPr>
        <w:sectPr>
          <w:footerReference r:id="rId5" w:type="default"/>
          <w:pgSz w:w="11907" w:h="16840"/>
          <w:pgMar w:top="1474" w:right="1814" w:bottom="1474" w:left="1814" w:header="851" w:footer="992" w:gutter="0"/>
          <w:cols w:space="720" w:num="1"/>
          <w:docGrid w:linePitch="462" w:charSpace="0"/>
        </w:sectPr>
      </w:pPr>
    </w:p>
    <w:p>
      <w:pPr>
        <w:spacing w:line="360" w:lineRule="auto"/>
        <w:ind w:firstLine="435"/>
        <w:rPr>
          <w:rFonts w:ascii="宋体" w:hAnsi="宋体" w:eastAsia="宋体"/>
          <w:sz w:val="24"/>
        </w:rPr>
      </w:pPr>
      <w:r>
        <w:rPr>
          <w:rFonts w:hint="eastAsia" w:ascii="宋体" w:hAnsi="宋体" w:eastAsia="宋体"/>
          <w:sz w:val="24"/>
          <w:u w:val="single"/>
        </w:rPr>
        <w:t>安徽交通职业技术学院</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安徽中技工程咨询有限公司</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pPr>
        <w:spacing w:line="360" w:lineRule="auto"/>
        <w:ind w:firstLine="435"/>
        <w:rPr>
          <w:rFonts w:ascii="宋体" w:hAnsi="宋体" w:eastAsia="宋体"/>
          <w:sz w:val="24"/>
          <w:lang w:val="zh-CN"/>
        </w:rPr>
      </w:pPr>
      <w:r>
        <w:rPr>
          <w:rFonts w:hint="eastAsia" w:ascii="宋体" w:hAnsi="宋体" w:eastAsia="宋体"/>
          <w:sz w:val="24"/>
        </w:rPr>
        <w:t>根据《中华人民共和国合同法》、《中华人民共和国政府采购法》等相关法律法规之规定，按照平等、自愿、公平和诚实信用的原则，经甲方和乙方协商一致，约定以下合同条款，以兹共同遵守、全面履行。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eastAsia="宋体"/>
          <w:b/>
          <w:bCs/>
          <w:sz w:val="24"/>
          <w:lang w:val="zh-CN"/>
        </w:rPr>
      </w:pPr>
      <w:bookmarkStart w:id="7" w:name="_Toc3029"/>
      <w:bookmarkStart w:id="8" w:name="_Toc2232"/>
      <w:bookmarkStart w:id="9"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
      <w:bookmarkEnd w:id="8"/>
      <w:bookmarkEnd w:id="9"/>
    </w:p>
    <w:p>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pPr>
        <w:spacing w:line="360" w:lineRule="auto"/>
        <w:ind w:firstLine="437"/>
        <w:outlineLvl w:val="3"/>
        <w:rPr>
          <w:rFonts w:ascii="宋体" w:hAnsi="宋体" w:eastAsia="宋体"/>
          <w:b/>
          <w:bCs/>
          <w:sz w:val="24"/>
          <w:lang w:val="zh-CN"/>
        </w:rPr>
      </w:pPr>
      <w:bookmarkStart w:id="10" w:name="_Toc18585"/>
      <w:bookmarkStart w:id="11" w:name="_Toc6773"/>
      <w:bookmarkStart w:id="12" w:name="_Toc6311"/>
      <w:bookmarkStart w:id="13" w:name="_Toc2918"/>
      <w:bookmarkStart w:id="14" w:name="_Toc22185"/>
      <w:r>
        <w:rPr>
          <w:rFonts w:hint="eastAsia" w:ascii="宋体" w:hAnsi="宋体" w:eastAsia="宋体"/>
          <w:b/>
          <w:bCs/>
          <w:sz w:val="24"/>
          <w:lang w:val="zh-CN"/>
        </w:rPr>
        <w:t xml:space="preserve">1.2 </w:t>
      </w:r>
      <w:bookmarkEnd w:id="10"/>
      <w:bookmarkEnd w:id="11"/>
      <w:bookmarkEnd w:id="12"/>
      <w:bookmarkEnd w:id="13"/>
      <w:bookmarkEnd w:id="14"/>
      <w:r>
        <w:rPr>
          <w:rFonts w:hint="eastAsia" w:ascii="宋体" w:hAnsi="宋体" w:eastAsia="宋体"/>
          <w:b/>
          <w:bCs/>
          <w:sz w:val="24"/>
          <w:lang w:val="zh-CN"/>
        </w:rPr>
        <w:t>服务</w:t>
      </w:r>
    </w:p>
    <w:p>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15" w:name="_Toc21551"/>
      <w:bookmarkStart w:id="16" w:name="_Toc23292"/>
      <w:bookmarkStart w:id="17"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15"/>
      <w:bookmarkEnd w:id="16"/>
      <w:bookmarkEnd w:id="17"/>
    </w:p>
    <w:p>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pPr>
        <w:spacing w:line="360" w:lineRule="auto"/>
        <w:ind w:firstLine="435"/>
        <w:rPr>
          <w:rFonts w:ascii="宋体" w:hAnsi="宋体" w:eastAsia="宋体"/>
          <w:sz w:val="24"/>
          <w:u w:val="single"/>
        </w:rPr>
      </w:pPr>
      <w:r>
        <w:rPr>
          <w:rFonts w:ascii="宋体" w:hAnsi="宋体" w:eastAsia="宋体"/>
          <w:sz w:val="24"/>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rPr>
                <w:rFonts w:ascii="宋体" w:hAnsi="宋体" w:eastAsia="宋体"/>
                <w:sz w:val="24"/>
                <w:lang w:val="zh-CN"/>
              </w:rPr>
            </w:pPr>
            <w:r>
              <w:rPr>
                <w:rFonts w:ascii="宋体" w:hAnsi="宋体" w:eastAsia="宋体"/>
                <w:sz w:val="24"/>
                <w:lang w:val="zh-CN"/>
              </w:rPr>
              <w:t>序号</w:t>
            </w:r>
          </w:p>
        </w:tc>
        <w:tc>
          <w:tcPr>
            <w:tcW w:w="4316" w:type="dxa"/>
            <w:vAlign w:val="center"/>
          </w:tcPr>
          <w:p>
            <w:pPr>
              <w:pStyle w:val="65"/>
              <w:ind w:firstLine="200"/>
              <w:jc w:val="center"/>
              <w:rPr>
                <w:rFonts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pPr>
              <w:pStyle w:val="65"/>
              <w:jc w:val="center"/>
              <w:rPr>
                <w:rFonts w:ascii="宋体" w:hAnsi="宋体" w:eastAsia="宋体"/>
                <w:sz w:val="24"/>
                <w:szCs w:val="24"/>
              </w:rPr>
            </w:pPr>
            <w:r>
              <w:rPr>
                <w:rFonts w:ascii="宋体" w:hAnsi="宋体" w:eastAsia="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宋体" w:hAnsi="宋体" w:eastAsia="宋体"/>
                <w:sz w:val="24"/>
                <w:lang w:val="zh-CN"/>
              </w:rPr>
            </w:pPr>
            <w:r>
              <w:rPr>
                <w:rFonts w:hint="eastAsia" w:ascii="宋体" w:hAnsi="宋体" w:eastAsia="宋体"/>
                <w:sz w:val="24"/>
                <w:lang w:val="zh-CN"/>
              </w:rPr>
              <w:t>1</w:t>
            </w:r>
          </w:p>
        </w:tc>
        <w:tc>
          <w:tcPr>
            <w:tcW w:w="4316" w:type="dxa"/>
            <w:vAlign w:val="center"/>
          </w:tcPr>
          <w:p>
            <w:pPr>
              <w:pStyle w:val="65"/>
              <w:ind w:firstLine="200"/>
              <w:jc w:val="center"/>
              <w:rPr>
                <w:rFonts w:ascii="宋体" w:hAnsi="宋体" w:eastAsia="宋体"/>
                <w:sz w:val="24"/>
                <w:szCs w:val="24"/>
              </w:rPr>
            </w:pPr>
          </w:p>
        </w:tc>
        <w:tc>
          <w:tcPr>
            <w:tcW w:w="3237" w:type="dxa"/>
            <w:gridSpan w:val="2"/>
            <w:vAlign w:val="center"/>
          </w:tcPr>
          <w:p>
            <w:pPr>
              <w:pStyle w:val="65"/>
              <w:ind w:firstLine="20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宋体" w:hAnsi="宋体" w:eastAsia="宋体"/>
                <w:sz w:val="24"/>
                <w:lang w:val="zh-CN"/>
              </w:rPr>
            </w:pPr>
            <w:r>
              <w:rPr>
                <w:rFonts w:hint="eastAsia" w:ascii="宋体" w:hAnsi="宋体" w:eastAsia="宋体"/>
                <w:sz w:val="24"/>
                <w:lang w:val="zh-CN"/>
              </w:rPr>
              <w:t>2</w:t>
            </w:r>
          </w:p>
        </w:tc>
        <w:tc>
          <w:tcPr>
            <w:tcW w:w="4316" w:type="dxa"/>
            <w:vAlign w:val="center"/>
          </w:tcPr>
          <w:p>
            <w:pPr>
              <w:pStyle w:val="65"/>
              <w:ind w:firstLine="200"/>
              <w:jc w:val="center"/>
              <w:rPr>
                <w:rFonts w:ascii="宋体" w:hAnsi="宋体" w:eastAsia="宋体"/>
                <w:sz w:val="24"/>
                <w:szCs w:val="24"/>
              </w:rPr>
            </w:pPr>
          </w:p>
        </w:tc>
        <w:tc>
          <w:tcPr>
            <w:tcW w:w="3237" w:type="dxa"/>
            <w:gridSpan w:val="2"/>
            <w:vAlign w:val="center"/>
          </w:tcPr>
          <w:p>
            <w:pPr>
              <w:pStyle w:val="65"/>
              <w:ind w:firstLine="20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宋体" w:hAnsi="宋体" w:eastAsia="宋体"/>
                <w:sz w:val="24"/>
                <w:lang w:val="zh-CN"/>
              </w:rPr>
            </w:pPr>
            <w:r>
              <w:rPr>
                <w:rFonts w:ascii="宋体" w:hAnsi="宋体" w:eastAsia="宋体"/>
                <w:sz w:val="24"/>
                <w:lang w:val="zh-CN"/>
              </w:rPr>
              <w:t>3</w:t>
            </w:r>
          </w:p>
        </w:tc>
        <w:tc>
          <w:tcPr>
            <w:tcW w:w="4316" w:type="dxa"/>
            <w:vAlign w:val="center"/>
          </w:tcPr>
          <w:p>
            <w:pPr>
              <w:pStyle w:val="65"/>
              <w:ind w:firstLine="200"/>
              <w:jc w:val="center"/>
              <w:rPr>
                <w:rFonts w:ascii="宋体" w:hAnsi="宋体" w:eastAsia="宋体"/>
                <w:sz w:val="24"/>
                <w:szCs w:val="24"/>
              </w:rPr>
            </w:pPr>
          </w:p>
        </w:tc>
        <w:tc>
          <w:tcPr>
            <w:tcW w:w="3237" w:type="dxa"/>
            <w:gridSpan w:val="2"/>
            <w:vAlign w:val="center"/>
          </w:tcPr>
          <w:p>
            <w:pPr>
              <w:pStyle w:val="65"/>
              <w:ind w:firstLine="20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宋体" w:hAnsi="宋体" w:eastAsia="宋体"/>
                <w:sz w:val="24"/>
                <w:lang w:val="zh-CN"/>
              </w:rPr>
            </w:pPr>
            <w:r>
              <w:rPr>
                <w:rFonts w:hint="eastAsia" w:ascii="宋体" w:hAnsi="宋体" w:eastAsia="宋体"/>
                <w:sz w:val="24"/>
                <w:lang w:val="zh-CN"/>
              </w:rPr>
              <w:t>……</w:t>
            </w:r>
          </w:p>
        </w:tc>
        <w:tc>
          <w:tcPr>
            <w:tcW w:w="4316" w:type="dxa"/>
            <w:vAlign w:val="center"/>
          </w:tcPr>
          <w:p>
            <w:pPr>
              <w:pStyle w:val="65"/>
              <w:ind w:firstLine="200"/>
              <w:jc w:val="center"/>
              <w:rPr>
                <w:rFonts w:ascii="宋体" w:hAnsi="宋体" w:eastAsia="宋体"/>
                <w:sz w:val="24"/>
                <w:szCs w:val="24"/>
              </w:rPr>
            </w:pPr>
          </w:p>
        </w:tc>
        <w:tc>
          <w:tcPr>
            <w:tcW w:w="3237" w:type="dxa"/>
            <w:gridSpan w:val="2"/>
            <w:vAlign w:val="center"/>
          </w:tcPr>
          <w:p>
            <w:pPr>
              <w:pStyle w:val="65"/>
              <w:ind w:firstLine="20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pStyle w:val="65"/>
              <w:ind w:firstLine="200"/>
              <w:jc w:val="center"/>
              <w:rPr>
                <w:rFonts w:ascii="宋体" w:hAnsi="宋体" w:eastAsia="宋体"/>
                <w:sz w:val="24"/>
                <w:szCs w:val="24"/>
              </w:rPr>
            </w:pPr>
            <w:r>
              <w:rPr>
                <w:rFonts w:hint="eastAsia" w:ascii="宋体" w:hAnsi="宋体" w:eastAsia="宋体"/>
                <w:sz w:val="24"/>
                <w:szCs w:val="24"/>
              </w:rPr>
              <w:t>总价</w:t>
            </w:r>
          </w:p>
        </w:tc>
        <w:tc>
          <w:tcPr>
            <w:tcW w:w="3237" w:type="dxa"/>
            <w:gridSpan w:val="2"/>
            <w:vAlign w:val="center"/>
          </w:tcPr>
          <w:p>
            <w:pPr>
              <w:pStyle w:val="65"/>
              <w:ind w:firstLine="200"/>
              <w:jc w:val="center"/>
              <w:rPr>
                <w:rFonts w:ascii="宋体" w:hAnsi="宋体" w:eastAsia="宋体"/>
                <w:sz w:val="24"/>
                <w:szCs w:val="24"/>
              </w:rPr>
            </w:pPr>
          </w:p>
        </w:tc>
      </w:tr>
    </w:tbl>
    <w:p>
      <w:pPr>
        <w:spacing w:line="360" w:lineRule="auto"/>
        <w:ind w:firstLine="437"/>
        <w:outlineLvl w:val="3"/>
        <w:rPr>
          <w:rFonts w:ascii="宋体" w:hAnsi="宋体" w:eastAsia="宋体"/>
          <w:b/>
          <w:bCs/>
          <w:sz w:val="24"/>
          <w:lang w:val="zh-CN"/>
        </w:rPr>
      </w:pPr>
      <w:bookmarkStart w:id="18" w:name="_Toc22618"/>
      <w:bookmarkStart w:id="19" w:name="_Toc10340"/>
      <w:bookmarkStart w:id="20"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18"/>
      <w:bookmarkEnd w:id="19"/>
      <w:bookmarkEnd w:id="20"/>
    </w:p>
    <w:p>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21" w:name="_Toc32071"/>
      <w:bookmarkStart w:id="22" w:name="_Toc2846"/>
      <w:bookmarkStart w:id="23"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21"/>
      <w:bookmarkEnd w:id="22"/>
      <w:bookmarkEnd w:id="23"/>
    </w:p>
    <w:p>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24" w:name="_Toc27250"/>
      <w:bookmarkStart w:id="25" w:name="_Toc21423"/>
      <w:bookmarkStart w:id="26" w:name="_Toc19554"/>
      <w:r>
        <w:rPr>
          <w:rFonts w:hint="eastAsia" w:ascii="宋体" w:hAnsi="宋体" w:eastAsia="宋体"/>
          <w:b/>
          <w:bCs/>
          <w:sz w:val="24"/>
          <w:lang w:val="zh-CN"/>
        </w:rPr>
        <w:t>1.6 违约责任</w:t>
      </w:r>
      <w:bookmarkEnd w:id="24"/>
      <w:bookmarkEnd w:id="25"/>
      <w:bookmarkEnd w:id="26"/>
    </w:p>
    <w:p>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pPr>
        <w:spacing w:line="360" w:lineRule="auto"/>
        <w:ind w:firstLine="437"/>
        <w:outlineLvl w:val="3"/>
        <w:rPr>
          <w:rFonts w:ascii="宋体" w:hAnsi="宋体" w:eastAsia="宋体"/>
          <w:b/>
          <w:bCs/>
          <w:sz w:val="24"/>
          <w:lang w:val="zh-CN"/>
        </w:rPr>
      </w:pPr>
      <w:bookmarkStart w:id="27" w:name="_Toc28375"/>
      <w:bookmarkStart w:id="28" w:name="_Toc16021"/>
      <w:bookmarkStart w:id="29" w:name="_Toc15583"/>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27"/>
      <w:bookmarkEnd w:id="28"/>
      <w:bookmarkEnd w:id="29"/>
    </w:p>
    <w:p>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pPr>
        <w:spacing w:line="360" w:lineRule="auto"/>
        <w:ind w:firstLine="437"/>
        <w:outlineLvl w:val="3"/>
        <w:rPr>
          <w:rFonts w:ascii="宋体" w:hAnsi="宋体" w:eastAsia="宋体"/>
          <w:b/>
          <w:bCs/>
          <w:sz w:val="24"/>
          <w:lang w:val="zh-CN"/>
        </w:rPr>
      </w:pPr>
      <w:bookmarkStart w:id="30" w:name="_Toc15322"/>
      <w:bookmarkStart w:id="31" w:name="_Toc7245"/>
      <w:bookmarkStart w:id="32"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30"/>
      <w:bookmarkEnd w:id="31"/>
      <w:bookmarkEnd w:id="32"/>
    </w:p>
    <w:p>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pPr>
        <w:widowControl/>
        <w:spacing w:line="560" w:lineRule="exact"/>
        <w:jc w:val="left"/>
        <w:rPr>
          <w:rFonts w:ascii="宋体" w:hAnsi="宋体" w:eastAsia="宋体"/>
          <w:bCs/>
          <w:sz w:val="24"/>
        </w:rPr>
      </w:pPr>
      <w:bookmarkStart w:id="33"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pPr>
        <w:widowControl/>
        <w:jc w:val="left"/>
        <w:rPr>
          <w:rFonts w:ascii="宋体" w:hAnsi="宋体" w:eastAsia="宋体"/>
          <w:b/>
          <w:sz w:val="24"/>
        </w:rPr>
      </w:pPr>
      <w:r>
        <w:rPr>
          <w:rFonts w:ascii="宋体" w:hAnsi="宋体" w:eastAsia="宋体"/>
          <w:b/>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33"/>
    </w:p>
    <w:p>
      <w:pPr>
        <w:spacing w:line="360" w:lineRule="auto"/>
        <w:ind w:firstLine="437"/>
        <w:outlineLvl w:val="3"/>
        <w:rPr>
          <w:rFonts w:ascii="宋体" w:hAnsi="宋体" w:eastAsia="宋体"/>
          <w:b/>
          <w:bCs/>
          <w:sz w:val="24"/>
          <w:lang w:val="zh-CN"/>
        </w:rPr>
      </w:pPr>
      <w:bookmarkStart w:id="34" w:name="_Ref467378404"/>
      <w:bookmarkStart w:id="35" w:name="_Ref467379195"/>
      <w:bookmarkStart w:id="36" w:name="_Ref467379214"/>
      <w:bookmarkStart w:id="37" w:name="_Ref467379205"/>
      <w:bookmarkStart w:id="38" w:name="_Ref467379094"/>
      <w:bookmarkStart w:id="39" w:name="_Toc28763"/>
      <w:bookmarkStart w:id="40" w:name="_Toc279701240"/>
      <w:bookmarkStart w:id="41" w:name="_Ref467379101"/>
      <w:bookmarkStart w:id="42" w:name="_Ref467378463"/>
      <w:bookmarkStart w:id="43" w:name="_Toc19614"/>
      <w:bookmarkStart w:id="44" w:name="_Ref467379225"/>
      <w:bookmarkStart w:id="45" w:name="_Toc487900349"/>
      <w:bookmarkStart w:id="46" w:name="_Toc16917"/>
      <w:bookmarkStart w:id="47" w:name="_Ref467379109"/>
      <w:bookmarkStart w:id="48" w:name="_Toc259093669"/>
      <w:bookmarkStart w:id="49" w:name="_Ref467378499"/>
      <w:r>
        <w:rPr>
          <w:rFonts w:hint="eastAsia" w:ascii="宋体" w:hAnsi="宋体" w:eastAsia="宋体"/>
          <w:b/>
          <w:bCs/>
          <w:sz w:val="24"/>
          <w:lang w:val="zh-CN"/>
        </w:rPr>
        <w:t>2.1</w:t>
      </w:r>
      <w:r>
        <w:rPr>
          <w:rFonts w:ascii="宋体" w:hAnsi="宋体" w:eastAsia="宋体"/>
          <w:b/>
          <w:bCs/>
          <w:sz w:val="24"/>
          <w:lang w:val="zh-CN"/>
        </w:rPr>
        <w:t xml:space="preserve"> 定义</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政府采购对象，包括采购人自身需要的服务和向社会公众提供的公共服务。</w:t>
      </w:r>
    </w:p>
    <w:p>
      <w:pPr>
        <w:spacing w:line="360" w:lineRule="auto"/>
        <w:ind w:firstLine="435"/>
        <w:rPr>
          <w:rFonts w:ascii="宋体" w:hAnsi="宋体" w:eastAsia="宋体"/>
          <w:sz w:val="24"/>
        </w:rPr>
      </w:pPr>
      <w:bookmarkStart w:id="50"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50"/>
      <w:r>
        <w:rPr>
          <w:rFonts w:hint="eastAsia" w:ascii="宋体" w:hAnsi="宋体" w:eastAsia="宋体"/>
          <w:sz w:val="24"/>
        </w:rPr>
        <w:t>；采购人委托采购代理机构代表其与乙方签订合同的，采购人的授权委托书作为合同附件。</w:t>
      </w:r>
    </w:p>
    <w:p>
      <w:pPr>
        <w:spacing w:line="360" w:lineRule="auto"/>
        <w:ind w:firstLine="435"/>
        <w:rPr>
          <w:rFonts w:ascii="宋体" w:hAnsi="宋体" w:eastAsia="宋体"/>
          <w:sz w:val="24"/>
        </w:rPr>
      </w:pPr>
      <w:bookmarkStart w:id="51"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51"/>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rPr>
          <w:rFonts w:ascii="宋体" w:hAnsi="宋体" w:eastAsia="宋体"/>
          <w:sz w:val="24"/>
        </w:rPr>
      </w:pPr>
      <w:bookmarkStart w:id="52"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52"/>
    </w:p>
    <w:p>
      <w:pPr>
        <w:spacing w:line="360" w:lineRule="auto"/>
        <w:ind w:firstLine="437"/>
        <w:outlineLvl w:val="3"/>
        <w:rPr>
          <w:rFonts w:ascii="宋体" w:hAnsi="宋体" w:eastAsia="宋体"/>
          <w:b/>
          <w:bCs/>
          <w:sz w:val="24"/>
          <w:lang w:val="zh-CN"/>
        </w:rPr>
      </w:pPr>
      <w:bookmarkStart w:id="53" w:name="_Toc13336"/>
      <w:bookmarkStart w:id="54" w:name="_Toc259093670"/>
      <w:bookmarkStart w:id="55" w:name="_Toc279701241"/>
      <w:bookmarkStart w:id="56" w:name="_Toc32504"/>
      <w:bookmarkStart w:id="57" w:name="_Toc487900350"/>
      <w:bookmarkStart w:id="58" w:name="_Toc27635"/>
      <w:r>
        <w:rPr>
          <w:rFonts w:hint="eastAsia" w:ascii="宋体" w:hAnsi="宋体" w:eastAsia="宋体"/>
          <w:b/>
          <w:bCs/>
          <w:sz w:val="24"/>
          <w:lang w:val="zh-CN"/>
        </w:rPr>
        <w:t>2.</w:t>
      </w:r>
      <w:r>
        <w:rPr>
          <w:rFonts w:ascii="宋体" w:hAnsi="宋体" w:eastAsia="宋体"/>
          <w:b/>
          <w:bCs/>
          <w:sz w:val="24"/>
          <w:lang w:val="zh-CN"/>
        </w:rPr>
        <w:t>2 技术规范</w:t>
      </w:r>
      <w:bookmarkEnd w:id="53"/>
      <w:bookmarkEnd w:id="54"/>
      <w:bookmarkEnd w:id="55"/>
      <w:bookmarkEnd w:id="56"/>
      <w:bookmarkEnd w:id="57"/>
      <w:bookmarkEnd w:id="58"/>
    </w:p>
    <w:p>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pPr>
        <w:spacing w:line="360" w:lineRule="auto"/>
        <w:ind w:firstLine="437"/>
        <w:outlineLvl w:val="3"/>
        <w:rPr>
          <w:rFonts w:ascii="宋体" w:hAnsi="宋体" w:eastAsia="宋体"/>
          <w:b/>
          <w:bCs/>
          <w:sz w:val="24"/>
          <w:lang w:val="zh-CN"/>
        </w:rPr>
      </w:pPr>
      <w:bookmarkStart w:id="59" w:name="_Toc259093671"/>
      <w:bookmarkStart w:id="60" w:name="_Toc31634"/>
      <w:bookmarkStart w:id="61" w:name="_Toc487900351"/>
      <w:bookmarkStart w:id="62" w:name="_Toc27853"/>
      <w:bookmarkStart w:id="63" w:name="_Toc279701242"/>
      <w:bookmarkStart w:id="64" w:name="_Toc9829"/>
      <w:r>
        <w:rPr>
          <w:rFonts w:hint="eastAsia" w:ascii="宋体" w:hAnsi="宋体" w:eastAsia="宋体"/>
          <w:b/>
          <w:bCs/>
          <w:sz w:val="24"/>
          <w:lang w:val="zh-CN"/>
        </w:rPr>
        <w:t>2.</w:t>
      </w:r>
      <w:r>
        <w:rPr>
          <w:rFonts w:ascii="宋体" w:hAnsi="宋体" w:eastAsia="宋体"/>
          <w:b/>
          <w:bCs/>
          <w:sz w:val="24"/>
          <w:lang w:val="zh-CN"/>
        </w:rPr>
        <w:t>3 知识产权</w:t>
      </w:r>
      <w:bookmarkEnd w:id="59"/>
      <w:bookmarkEnd w:id="60"/>
      <w:bookmarkEnd w:id="61"/>
      <w:bookmarkEnd w:id="62"/>
      <w:bookmarkEnd w:id="63"/>
      <w:bookmarkEnd w:id="64"/>
    </w:p>
    <w:p>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65" w:name="_Ref467378591"/>
      <w:bookmarkStart w:id="66" w:name="_Ref467379542"/>
      <w:bookmarkStart w:id="67" w:name="_Toc487900354"/>
      <w:bookmarkStart w:id="68" w:name="_Ref467379527"/>
      <w:bookmarkStart w:id="69" w:name="_Ref467379536"/>
      <w:bookmarkStart w:id="70" w:name="_Toc259093674"/>
      <w:bookmarkStart w:id="71" w:name="_Ref467378541"/>
      <w:bookmarkStart w:id="72" w:name="_Toc279701245"/>
      <w:bookmarkStart w:id="73" w:name="_Toc26182"/>
      <w:bookmarkStart w:id="74" w:name="_Toc30272"/>
      <w:bookmarkStart w:id="75" w:name="_Toc19074"/>
      <w:r>
        <w:rPr>
          <w:rFonts w:hint="eastAsia" w:ascii="宋体" w:hAnsi="宋体" w:eastAsia="宋体"/>
          <w:b/>
          <w:bCs/>
          <w:sz w:val="24"/>
          <w:lang w:val="zh-CN"/>
        </w:rPr>
        <w:t>2.</w:t>
      </w:r>
      <w:bookmarkEnd w:id="65"/>
      <w:bookmarkEnd w:id="66"/>
      <w:bookmarkEnd w:id="67"/>
      <w:bookmarkEnd w:id="68"/>
      <w:bookmarkEnd w:id="69"/>
      <w:bookmarkEnd w:id="70"/>
      <w:bookmarkEnd w:id="71"/>
      <w:bookmarkEnd w:id="72"/>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73"/>
      <w:bookmarkEnd w:id="74"/>
      <w:bookmarkEnd w:id="75"/>
    </w:p>
    <w:p>
      <w:pPr>
        <w:spacing w:line="360" w:lineRule="auto"/>
        <w:ind w:firstLine="435"/>
        <w:rPr>
          <w:rFonts w:ascii="宋体" w:hAnsi="宋体" w:eastAsia="宋体"/>
          <w:sz w:val="24"/>
        </w:rPr>
      </w:pPr>
      <w:bookmarkStart w:id="76" w:name="_Toc186431854"/>
      <w:bookmarkStart w:id="77" w:name="_Toc487900357"/>
      <w:bookmarkStart w:id="78" w:name="_Toc259093676"/>
      <w:bookmarkStart w:id="79" w:name="_Toc279701247"/>
      <w:bookmarkStart w:id="80" w:name="_Ref467379807"/>
      <w:bookmarkStart w:id="81" w:name="_Ref467379793"/>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76"/>
      <w:bookmarkStart w:id="82" w:name="_Toc186431855"/>
      <w:r>
        <w:rPr>
          <w:rFonts w:hint="eastAsia" w:ascii="宋体" w:hAnsi="宋体" w:eastAsia="宋体"/>
          <w:sz w:val="24"/>
        </w:rPr>
        <w:t>。</w:t>
      </w:r>
    </w:p>
    <w:bookmarkEnd w:id="82"/>
    <w:p>
      <w:pPr>
        <w:spacing w:line="360" w:lineRule="auto"/>
        <w:ind w:firstLine="437"/>
        <w:outlineLvl w:val="3"/>
        <w:rPr>
          <w:rFonts w:ascii="宋体" w:hAnsi="宋体" w:eastAsia="宋体"/>
          <w:b/>
          <w:bCs/>
          <w:sz w:val="24"/>
          <w:lang w:val="zh-CN"/>
        </w:rPr>
      </w:pPr>
      <w:bookmarkStart w:id="83" w:name="_Toc19219"/>
      <w:bookmarkStart w:id="84" w:name="_Toc28451"/>
      <w:bookmarkStart w:id="85"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77"/>
      <w:bookmarkEnd w:id="78"/>
      <w:bookmarkEnd w:id="79"/>
      <w:bookmarkEnd w:id="80"/>
      <w:bookmarkEnd w:id="81"/>
      <w:bookmarkEnd w:id="83"/>
      <w:bookmarkEnd w:id="84"/>
      <w:bookmarkEnd w:id="85"/>
    </w:p>
    <w:p>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86" w:name="_Toc279701248"/>
      <w:bookmarkStart w:id="87" w:name="_Ref467379852"/>
      <w:bookmarkStart w:id="88" w:name="_Toc487900358"/>
      <w:bookmarkStart w:id="89" w:name="_Ref467379923"/>
      <w:bookmarkStart w:id="90" w:name="_Ref467379863"/>
      <w:bookmarkStart w:id="91" w:name="_Toc259093677"/>
      <w:bookmarkStart w:id="92" w:name="_Toc16110"/>
      <w:bookmarkStart w:id="93" w:name="_Toc3225"/>
      <w:bookmarkStart w:id="94" w:name="_Toc774"/>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86"/>
      <w:bookmarkEnd w:id="87"/>
      <w:bookmarkEnd w:id="88"/>
      <w:bookmarkEnd w:id="89"/>
      <w:bookmarkEnd w:id="90"/>
      <w:bookmarkEnd w:id="91"/>
      <w:r>
        <w:rPr>
          <w:rFonts w:ascii="宋体" w:hAnsi="宋体" w:eastAsia="宋体"/>
          <w:b/>
          <w:bCs/>
          <w:sz w:val="24"/>
          <w:lang w:val="zh-CN"/>
        </w:rPr>
        <w:t>和保密义务</w:t>
      </w:r>
      <w:bookmarkEnd w:id="92"/>
      <w:bookmarkEnd w:id="93"/>
      <w:bookmarkEnd w:id="94"/>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eastAsia="宋体"/>
          <w:b/>
          <w:bCs/>
          <w:sz w:val="24"/>
          <w:lang w:val="zh-CN"/>
        </w:rPr>
      </w:pPr>
      <w:bookmarkStart w:id="95" w:name="_Toc7860"/>
      <w:r>
        <w:rPr>
          <w:rFonts w:ascii="宋体" w:hAnsi="宋体" w:eastAsia="宋体"/>
          <w:b/>
          <w:bCs/>
          <w:sz w:val="24"/>
          <w:lang w:val="zh-CN"/>
        </w:rPr>
        <w:t>2.7 质量保证</w:t>
      </w:r>
      <w:bookmarkEnd w:id="95"/>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eastAsia="宋体"/>
          <w:b/>
          <w:sz w:val="24"/>
        </w:rPr>
      </w:pPr>
      <w:bookmarkStart w:id="96" w:name="_Toc22267"/>
      <w:r>
        <w:rPr>
          <w:rFonts w:hint="eastAsia" w:ascii="宋体" w:hAnsi="宋体" w:eastAsia="宋体"/>
          <w:b/>
          <w:sz w:val="24"/>
        </w:rPr>
        <w:t>2.8 延迟履行</w:t>
      </w:r>
      <w:bookmarkEnd w:id="96"/>
    </w:p>
    <w:p>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pPr>
        <w:spacing w:line="360" w:lineRule="auto"/>
        <w:ind w:firstLine="437"/>
        <w:outlineLvl w:val="3"/>
        <w:rPr>
          <w:rFonts w:ascii="宋体" w:hAnsi="宋体" w:eastAsia="宋体"/>
          <w:b/>
          <w:bCs/>
          <w:sz w:val="24"/>
          <w:lang w:val="zh-CN"/>
        </w:rPr>
      </w:pPr>
      <w:bookmarkStart w:id="97" w:name="_Toc7502"/>
      <w:bookmarkStart w:id="98" w:name="_Toc279701254"/>
      <w:bookmarkStart w:id="99" w:name="_Toc487900364"/>
      <w:bookmarkStart w:id="100" w:name="_Toc259093683"/>
      <w:bookmarkStart w:id="101" w:name="_Ref467378121"/>
      <w:r>
        <w:rPr>
          <w:rFonts w:ascii="宋体" w:hAnsi="宋体" w:eastAsia="宋体"/>
          <w:b/>
          <w:bCs/>
          <w:sz w:val="24"/>
          <w:lang w:val="zh-CN"/>
        </w:rPr>
        <w:t>2.9 合同变更</w:t>
      </w:r>
      <w:bookmarkEnd w:id="97"/>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02" w:name="_Toc279701259"/>
      <w:bookmarkStart w:id="103" w:name="_Toc487900369"/>
      <w:bookmarkStart w:id="104" w:name="_Toc259093688"/>
    </w:p>
    <w:p>
      <w:pPr>
        <w:spacing w:line="360" w:lineRule="auto"/>
        <w:ind w:firstLine="437"/>
        <w:outlineLvl w:val="3"/>
        <w:rPr>
          <w:rFonts w:ascii="宋体" w:hAnsi="宋体" w:eastAsia="宋体"/>
          <w:b/>
          <w:bCs/>
          <w:sz w:val="24"/>
          <w:lang w:val="zh-CN"/>
        </w:rPr>
      </w:pPr>
      <w:bookmarkStart w:id="105" w:name="_Toc10366"/>
      <w:bookmarkStart w:id="106" w:name="_Toc22955"/>
      <w:bookmarkStart w:id="107"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02"/>
      <w:bookmarkEnd w:id="103"/>
      <w:bookmarkEnd w:id="104"/>
      <w:r>
        <w:rPr>
          <w:rFonts w:ascii="宋体" w:hAnsi="宋体" w:eastAsia="宋体"/>
          <w:b/>
          <w:bCs/>
          <w:sz w:val="24"/>
          <w:lang w:val="zh-CN"/>
        </w:rPr>
        <w:t>和分包</w:t>
      </w:r>
      <w:bookmarkEnd w:id="105"/>
      <w:bookmarkEnd w:id="106"/>
      <w:bookmarkEnd w:id="107"/>
    </w:p>
    <w:p>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pPr>
        <w:spacing w:line="360" w:lineRule="auto"/>
        <w:ind w:firstLine="437"/>
        <w:outlineLvl w:val="3"/>
        <w:rPr>
          <w:rFonts w:ascii="宋体" w:hAnsi="宋体" w:eastAsia="宋体"/>
          <w:b/>
          <w:bCs/>
          <w:sz w:val="24"/>
          <w:lang w:val="zh-CN"/>
        </w:rPr>
      </w:pPr>
      <w:bookmarkStart w:id="108" w:name="_Toc13566"/>
      <w:bookmarkStart w:id="109" w:name="_Toc14066"/>
      <w:bookmarkStart w:id="110" w:name="_Toc16508"/>
      <w:r>
        <w:rPr>
          <w:rFonts w:hint="eastAsia" w:ascii="宋体" w:hAnsi="宋体" w:eastAsia="宋体"/>
          <w:b/>
          <w:bCs/>
          <w:sz w:val="24"/>
          <w:lang w:val="zh-CN"/>
        </w:rPr>
        <w:t>2.1</w:t>
      </w:r>
      <w:r>
        <w:rPr>
          <w:rFonts w:ascii="宋体" w:hAnsi="宋体" w:eastAsia="宋体"/>
          <w:b/>
          <w:bCs/>
          <w:sz w:val="24"/>
          <w:lang w:val="zh-CN"/>
        </w:rPr>
        <w:t>1 不可抗力</w:t>
      </w:r>
      <w:bookmarkEnd w:id="108"/>
      <w:bookmarkEnd w:id="109"/>
      <w:bookmarkEnd w:id="110"/>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111" w:name="_Toc689"/>
      <w:bookmarkStart w:id="112" w:name="_Toc279701255"/>
      <w:bookmarkStart w:id="113" w:name="_Toc30676"/>
      <w:bookmarkStart w:id="114" w:name="_Toc6969"/>
      <w:bookmarkStart w:id="115" w:name="_Toc487900365"/>
      <w:bookmarkStart w:id="116" w:name="_Toc259093684"/>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11"/>
      <w:bookmarkEnd w:id="112"/>
      <w:bookmarkEnd w:id="113"/>
      <w:bookmarkEnd w:id="114"/>
      <w:bookmarkEnd w:id="115"/>
      <w:bookmarkEnd w:id="116"/>
    </w:p>
    <w:p>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117" w:name="_Toc16959"/>
      <w:bookmarkStart w:id="118" w:name="_Toc487900368"/>
      <w:bookmarkStart w:id="119" w:name="_Toc259093687"/>
      <w:bookmarkStart w:id="120" w:name="_Toc7102"/>
      <w:bookmarkStart w:id="121" w:name="_Toc279701258"/>
      <w:bookmarkStart w:id="122" w:name="_Toc829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17"/>
      <w:bookmarkEnd w:id="118"/>
      <w:bookmarkEnd w:id="119"/>
      <w:bookmarkEnd w:id="120"/>
      <w:bookmarkEnd w:id="121"/>
      <w:bookmarkEnd w:id="122"/>
    </w:p>
    <w:p>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pPr>
        <w:spacing w:line="360" w:lineRule="auto"/>
        <w:ind w:firstLine="437"/>
        <w:outlineLvl w:val="3"/>
        <w:rPr>
          <w:rFonts w:ascii="宋体" w:hAnsi="宋体" w:eastAsia="宋体"/>
          <w:b/>
          <w:sz w:val="24"/>
        </w:rPr>
      </w:pPr>
      <w:bookmarkStart w:id="123" w:name="_Toc15387"/>
      <w:bookmarkStart w:id="124" w:name="_Toc6134"/>
      <w:bookmarkStart w:id="125" w:name="_Toc29333"/>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23"/>
      <w:bookmarkEnd w:id="124"/>
      <w:bookmarkEnd w:id="125"/>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eastAsia="宋体"/>
          <w:b/>
          <w:bCs/>
          <w:sz w:val="24"/>
          <w:lang w:val="zh-CN"/>
        </w:rPr>
      </w:pPr>
      <w:bookmarkStart w:id="126" w:name="_Toc6596"/>
      <w:bookmarkStart w:id="127" w:name="_Toc1125"/>
      <w:bookmarkStart w:id="128"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26"/>
      <w:bookmarkEnd w:id="127"/>
      <w:bookmarkEnd w:id="128"/>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98"/>
    <w:bookmarkEnd w:id="99"/>
    <w:bookmarkEnd w:id="100"/>
    <w:bookmarkEnd w:id="101"/>
    <w:p>
      <w:pPr>
        <w:spacing w:line="360" w:lineRule="auto"/>
        <w:ind w:firstLine="437"/>
        <w:outlineLvl w:val="3"/>
        <w:rPr>
          <w:rFonts w:ascii="宋体" w:hAnsi="宋体" w:eastAsia="宋体"/>
          <w:b/>
          <w:bCs/>
          <w:sz w:val="24"/>
        </w:rPr>
      </w:pPr>
      <w:bookmarkStart w:id="129" w:name="_Toc487900373"/>
      <w:bookmarkStart w:id="130" w:name="_Toc12773"/>
      <w:bookmarkStart w:id="131" w:name="_Toc10330"/>
      <w:bookmarkStart w:id="132" w:name="_Toc18567"/>
      <w:bookmarkStart w:id="133" w:name="_Toc279701263"/>
      <w:bookmarkStart w:id="134" w:name="_Toc259093692"/>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29"/>
      <w:bookmarkEnd w:id="130"/>
      <w:bookmarkEnd w:id="131"/>
      <w:bookmarkEnd w:id="132"/>
      <w:bookmarkEnd w:id="133"/>
      <w:bookmarkEnd w:id="134"/>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pPr>
        <w:spacing w:line="360" w:lineRule="auto"/>
        <w:ind w:firstLine="437"/>
        <w:outlineLvl w:val="3"/>
        <w:rPr>
          <w:rFonts w:ascii="宋体" w:hAnsi="宋体" w:eastAsia="宋体"/>
          <w:b/>
          <w:sz w:val="24"/>
        </w:rPr>
      </w:pPr>
      <w:bookmarkStart w:id="135" w:name="_Toc12004"/>
      <w:bookmarkStart w:id="136" w:name="_Toc259093693"/>
      <w:bookmarkStart w:id="137" w:name="_Toc3148"/>
      <w:bookmarkStart w:id="138" w:name="_Toc16673"/>
      <w:bookmarkStart w:id="139" w:name="_Toc279701264"/>
      <w:bookmarkStart w:id="140"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35"/>
      <w:bookmarkEnd w:id="136"/>
      <w:bookmarkEnd w:id="137"/>
      <w:bookmarkEnd w:id="138"/>
      <w:bookmarkEnd w:id="139"/>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40"/>
    <w:p>
      <w:pPr>
        <w:spacing w:line="360" w:lineRule="auto"/>
        <w:ind w:firstLine="437"/>
        <w:outlineLvl w:val="3"/>
        <w:rPr>
          <w:rFonts w:ascii="宋体" w:hAnsi="宋体" w:eastAsia="宋体"/>
          <w:b/>
          <w:sz w:val="24"/>
        </w:rPr>
      </w:pPr>
      <w:bookmarkStart w:id="141" w:name="_Toc6885"/>
      <w:bookmarkStart w:id="142" w:name="_Toc19890"/>
      <w:bookmarkStart w:id="143"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41"/>
      <w:bookmarkEnd w:id="142"/>
      <w:bookmarkEnd w:id="143"/>
    </w:p>
    <w:p>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pPr>
        <w:spacing w:line="360" w:lineRule="auto"/>
        <w:jc w:val="center"/>
        <w:outlineLvl w:val="2"/>
        <w:rPr>
          <w:rFonts w:ascii="宋体" w:hAnsi="宋体" w:eastAsia="宋体"/>
          <w:b/>
          <w:sz w:val="24"/>
        </w:rPr>
      </w:pPr>
      <w:r>
        <w:rPr>
          <w:rFonts w:ascii="宋体" w:hAnsi="宋体" w:eastAsia="宋体"/>
          <w:sz w:val="24"/>
        </w:rPr>
        <w:br w:type="page"/>
      </w:r>
      <w:bookmarkStart w:id="144"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44"/>
    </w:p>
    <w:p>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ascii="宋体" w:hAnsi="宋体" w:eastAsia="宋体"/>
                <w:b/>
                <w:sz w:val="24"/>
              </w:rPr>
            </w:pPr>
            <w:r>
              <w:rPr>
                <w:rFonts w:ascii="宋体" w:hAnsi="宋体" w:eastAsia="宋体"/>
                <w:b/>
                <w:sz w:val="24"/>
              </w:rPr>
              <w:t>条款号</w:t>
            </w:r>
          </w:p>
        </w:tc>
        <w:tc>
          <w:tcPr>
            <w:tcW w:w="7568" w:type="dxa"/>
            <w:vAlign w:val="center"/>
          </w:tcPr>
          <w:p>
            <w:pPr>
              <w:jc w:val="center"/>
              <w:rPr>
                <w:rFonts w:ascii="宋体" w:hAnsi="宋体" w:eastAsia="宋体"/>
                <w:b/>
                <w:sz w:val="24"/>
              </w:rPr>
            </w:pPr>
            <w:r>
              <w:rPr>
                <w:rFonts w:ascii="宋体" w:hAnsi="宋体" w:eastAsia="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宋体" w:hAnsi="宋体" w:eastAsia="宋体"/>
                <w:sz w:val="24"/>
              </w:rPr>
            </w:pPr>
          </w:p>
        </w:tc>
        <w:tc>
          <w:tcPr>
            <w:tcW w:w="7568" w:type="dxa"/>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eastAsia="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eastAsia="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eastAsia="宋体"/>
                <w:sz w:val="24"/>
              </w:rPr>
            </w:pPr>
          </w:p>
        </w:tc>
      </w:tr>
    </w:tbl>
    <w:p>
      <w:pPr>
        <w:spacing w:line="360" w:lineRule="auto"/>
        <w:ind w:left="1329" w:hanging="1329" w:hangingChars="633"/>
        <w:rPr>
          <w:rFonts w:ascii="宋体" w:hAnsi="宋体" w:eastAsia="宋体" w:cs="Times New Roman"/>
          <w:szCs w:val="21"/>
        </w:rPr>
      </w:pPr>
    </w:p>
    <w:p>
      <w:pPr>
        <w:spacing w:line="360" w:lineRule="auto"/>
        <w:ind w:left="1329" w:hanging="1329" w:hangingChars="633"/>
        <w:rPr>
          <w:rFonts w:ascii="宋体" w:hAnsi="宋体" w:eastAsia="宋体" w:cs="Times New Roman"/>
          <w:szCs w:val="21"/>
        </w:rPr>
      </w:pPr>
    </w:p>
    <w:p>
      <w:pPr>
        <w:spacing w:line="360" w:lineRule="auto"/>
        <w:ind w:left="1329" w:hanging="1329" w:hangingChars="633"/>
        <w:rPr>
          <w:rFonts w:ascii="宋体" w:hAnsi="宋体" w:eastAsia="宋体" w:cs="Times New Roman"/>
          <w:szCs w:val="21"/>
        </w:rPr>
      </w:pPr>
    </w:p>
    <w:p>
      <w:pPr>
        <w:spacing w:line="360" w:lineRule="auto"/>
        <w:jc w:val="center"/>
        <w:outlineLvl w:val="1"/>
        <w:rPr>
          <w:rFonts w:asciiTheme="minorEastAsia" w:hAnsiTheme="minorEastAsia" w:eastAsiaTheme="minorEastAsia"/>
          <w:b/>
          <w:sz w:val="28"/>
        </w:rPr>
      </w:pPr>
      <w:r>
        <w:rPr>
          <w:rFonts w:ascii="黑体" w:hAnsi="黑体" w:eastAsia="黑体" w:cs="Times New Roman"/>
          <w:bCs/>
          <w:sz w:val="24"/>
          <w:szCs w:val="24"/>
        </w:rPr>
        <w:br w:type="page"/>
      </w:r>
      <w:bookmarkStart w:id="145" w:name="_Toc21795"/>
      <w:r>
        <w:rPr>
          <w:rFonts w:hint="eastAsia" w:asciiTheme="minorEastAsia" w:hAnsiTheme="minorEastAsia" w:eastAsiaTheme="minorEastAsia"/>
          <w:b/>
          <w:sz w:val="28"/>
        </w:rPr>
        <w:t>第六章  响应文件格式</w:t>
      </w:r>
      <w:bookmarkEnd w:id="145"/>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安徽交通职业技术学院校企合作特色专业购买服务</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2"/>
        <w:rPr>
          <w:rFonts w:asciiTheme="minorEastAsia" w:hAnsiTheme="minorEastAsia" w:eastAsiaTheme="minorEastAsia"/>
          <w:b/>
          <w:sz w:val="24"/>
        </w:rPr>
      </w:pPr>
      <w:bookmarkStart w:id="146" w:name="_Toc461053086"/>
      <w:bookmarkStart w:id="147" w:name="_Toc461056631"/>
      <w:bookmarkStart w:id="148" w:name="_Toc520983587"/>
      <w:r>
        <w:rPr>
          <w:rFonts w:hint="eastAsia" w:asciiTheme="minorEastAsia" w:hAnsiTheme="minorEastAsia" w:eastAsiaTheme="minorEastAsia"/>
          <w:b/>
          <w:sz w:val="24"/>
        </w:rPr>
        <w:t>一</w:t>
      </w:r>
      <w:bookmarkEnd w:id="146"/>
      <w:bookmarkEnd w:id="147"/>
      <w:r>
        <w:rPr>
          <w:rFonts w:hint="eastAsia" w:asciiTheme="minorEastAsia" w:hAnsiTheme="minorEastAsia" w:eastAsiaTheme="minorEastAsia"/>
          <w:b/>
          <w:sz w:val="24"/>
        </w:rPr>
        <w:t>、报价表格式</w:t>
      </w:r>
      <w:bookmarkEnd w:id="148"/>
    </w:p>
    <w:p>
      <w:pPr>
        <w:spacing w:before="156" w:beforeLines="50" w:after="156" w:afterLines="50" w:line="360" w:lineRule="auto"/>
        <w:jc w:val="left"/>
        <w:rPr>
          <w:rFonts w:ascii="宋体" w:hAnsi="宋体" w:eastAsia="宋体"/>
          <w:b/>
          <w:sz w:val="24"/>
          <w:szCs w:val="28"/>
        </w:rPr>
      </w:pPr>
      <w:r>
        <w:rPr>
          <w:rFonts w:hint="eastAsia" w:ascii="宋体" w:hAnsi="宋体" w:eastAsia="宋体"/>
          <w:b/>
          <w:sz w:val="24"/>
          <w:szCs w:val="28"/>
        </w:rPr>
        <w:t>1-1 报价表</w:t>
      </w:r>
    </w:p>
    <w:p>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安徽交通职业技术学院校企合作特色专业购买服务       </w:t>
      </w:r>
    </w:p>
    <w:p>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AHZJ-202016101327/院招第2020026号       </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6064" w:type="dxa"/>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6064" w:type="dxa"/>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p>
            <w:pPr>
              <w:spacing w:line="360" w:lineRule="auto"/>
              <w:jc w:val="center"/>
              <w:rPr>
                <w:rFonts w:ascii="宋体" w:hAnsi="宋体" w:eastAsia="宋体"/>
                <w:b/>
                <w:sz w:val="24"/>
              </w:rPr>
            </w:pPr>
            <w:r>
              <w:rPr>
                <w:rFonts w:hint="eastAsia" w:ascii="宋体" w:hAnsi="宋体" w:eastAsia="宋体"/>
                <w:b/>
                <w:sz w:val="24"/>
              </w:rPr>
              <w:t>（详见备注说明）</w:t>
            </w:r>
          </w:p>
        </w:tc>
        <w:tc>
          <w:tcPr>
            <w:tcW w:w="6064" w:type="dxa"/>
            <w:vAlign w:val="center"/>
          </w:tcPr>
          <w:p>
            <w:pPr>
              <w:snapToGrid w:val="0"/>
              <w:spacing w:line="360" w:lineRule="auto"/>
              <w:rPr>
                <w:rFonts w:ascii="宋体" w:hAnsi="宋体" w:eastAsia="宋体"/>
                <w:sz w:val="24"/>
                <w:szCs w:val="28"/>
              </w:rPr>
            </w:pPr>
          </w:p>
          <w:p>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458" w:type="dxa"/>
            <w:tcBorders>
              <w:top w:val="single" w:color="auto" w:sz="4" w:space="0"/>
            </w:tcBorders>
            <w:vAlign w:val="center"/>
          </w:tcPr>
          <w:p>
            <w:pPr>
              <w:snapToGrid w:val="0"/>
              <w:jc w:val="center"/>
              <w:rPr>
                <w:rFonts w:ascii="宋体" w:hAnsi="宋体" w:eastAsia="宋体"/>
                <w:b/>
                <w:sz w:val="24"/>
              </w:rPr>
            </w:pPr>
            <w:r>
              <w:rPr>
                <w:rFonts w:hint="eastAsia" w:ascii="宋体" w:hAnsi="宋体" w:eastAsia="宋体"/>
                <w:b/>
                <w:sz w:val="24"/>
              </w:rPr>
              <w:t>服务期限</w:t>
            </w:r>
          </w:p>
        </w:tc>
        <w:tc>
          <w:tcPr>
            <w:tcW w:w="6064" w:type="dxa"/>
            <w:vAlign w:val="center"/>
          </w:tcPr>
          <w:p>
            <w:pPr>
              <w:snapToGrid w:val="0"/>
              <w:rPr>
                <w:rFonts w:ascii="宋体" w:hAnsi="宋体"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58" w:type="dxa"/>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6064" w:type="dxa"/>
          </w:tcPr>
          <w:p>
            <w:pPr>
              <w:spacing w:line="360" w:lineRule="auto"/>
              <w:rPr>
                <w:rFonts w:ascii="宋体" w:hAnsi="宋体" w:eastAsia="宋体"/>
                <w:b/>
                <w:sz w:val="24"/>
              </w:rPr>
            </w:pPr>
          </w:p>
        </w:tc>
      </w:tr>
    </w:tbl>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1.本表内容根据磋商文件要求包括了磋商文件要求提供的全部内容的所有费用。</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pPr>
        <w:widowControl/>
        <w:jc w:val="left"/>
        <w:rPr>
          <w:rFonts w:ascii="宋体" w:hAnsi="宋体" w:eastAsia="宋体"/>
          <w:b/>
          <w:bCs/>
          <w:sz w:val="24"/>
          <w:szCs w:val="28"/>
        </w:rPr>
      </w:pPr>
      <w:r>
        <w:rPr>
          <w:rFonts w:ascii="宋体" w:hAnsi="宋体" w:eastAsia="宋体"/>
          <w:b/>
          <w:bCs/>
          <w:sz w:val="24"/>
          <w:szCs w:val="28"/>
        </w:rPr>
        <w:br w:type="page"/>
      </w:r>
    </w:p>
    <w:p>
      <w:pPr>
        <w:spacing w:before="156" w:beforeLines="50" w:after="156" w:afterLines="50" w:line="360" w:lineRule="auto"/>
        <w:jc w:val="left"/>
        <w:rPr>
          <w:rFonts w:ascii="宋体" w:hAnsi="宋体" w:eastAsia="宋体"/>
          <w:b/>
          <w:sz w:val="24"/>
          <w:szCs w:val="28"/>
        </w:rPr>
      </w:pPr>
      <w:r>
        <w:rPr>
          <w:rFonts w:hint="eastAsia" w:ascii="宋体" w:hAnsi="宋体" w:eastAsia="宋体"/>
          <w:b/>
          <w:sz w:val="24"/>
          <w:szCs w:val="28"/>
        </w:rPr>
        <w:t>1-2 分项报价明细表</w:t>
      </w:r>
    </w:p>
    <w:p>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pPr>
              <w:jc w:val="center"/>
              <w:rPr>
                <w:rFonts w:ascii="宋体" w:hAnsi="宋体" w:eastAsia="宋体"/>
                <w:b/>
                <w:sz w:val="24"/>
              </w:rPr>
            </w:pPr>
            <w:r>
              <w:rPr>
                <w:rFonts w:hint="eastAsia" w:ascii="宋体" w:hAnsi="宋体" w:eastAsia="宋体"/>
                <w:b/>
                <w:sz w:val="24"/>
              </w:rPr>
              <w:t>序号</w:t>
            </w:r>
          </w:p>
        </w:tc>
        <w:tc>
          <w:tcPr>
            <w:tcW w:w="3109" w:type="dxa"/>
            <w:vAlign w:val="center"/>
          </w:tcPr>
          <w:p>
            <w:pPr>
              <w:jc w:val="center"/>
              <w:rPr>
                <w:rFonts w:ascii="宋体" w:hAnsi="宋体" w:eastAsia="宋体"/>
                <w:b/>
                <w:sz w:val="24"/>
              </w:rPr>
            </w:pPr>
            <w:r>
              <w:rPr>
                <w:rFonts w:hint="eastAsia" w:ascii="宋体" w:hAnsi="宋体" w:eastAsia="宋体"/>
                <w:b/>
                <w:sz w:val="24"/>
              </w:rPr>
              <w:t>服务内容</w:t>
            </w:r>
          </w:p>
        </w:tc>
        <w:tc>
          <w:tcPr>
            <w:tcW w:w="1357" w:type="dxa"/>
            <w:vAlign w:val="center"/>
          </w:tcPr>
          <w:p>
            <w:pPr>
              <w:jc w:val="center"/>
              <w:rPr>
                <w:rFonts w:ascii="宋体" w:hAnsi="宋体" w:eastAsia="宋体"/>
                <w:b/>
                <w:sz w:val="24"/>
              </w:rPr>
            </w:pPr>
            <w:r>
              <w:rPr>
                <w:rFonts w:hint="eastAsia" w:ascii="宋体" w:hAnsi="宋体" w:eastAsia="宋体"/>
                <w:b/>
                <w:sz w:val="24"/>
              </w:rPr>
              <w:t>项</w:t>
            </w:r>
          </w:p>
        </w:tc>
        <w:tc>
          <w:tcPr>
            <w:tcW w:w="1698" w:type="dxa"/>
            <w:vAlign w:val="center"/>
          </w:tcPr>
          <w:p>
            <w:pPr>
              <w:jc w:val="center"/>
              <w:rPr>
                <w:rFonts w:ascii="宋体" w:hAnsi="宋体" w:eastAsia="宋体"/>
                <w:b/>
                <w:sz w:val="24"/>
              </w:rPr>
            </w:pPr>
            <w:r>
              <w:rPr>
                <w:rFonts w:hint="eastAsia" w:ascii="宋体" w:hAnsi="宋体" w:eastAsia="宋体"/>
                <w:b/>
                <w:sz w:val="24"/>
              </w:rPr>
              <w:t>单价</w:t>
            </w:r>
          </w:p>
        </w:tc>
        <w:tc>
          <w:tcPr>
            <w:tcW w:w="1568" w:type="dxa"/>
            <w:vAlign w:val="center"/>
          </w:tcPr>
          <w:p>
            <w:pPr>
              <w:jc w:val="center"/>
              <w:rPr>
                <w:rFonts w:ascii="宋体" w:hAnsi="宋体" w:eastAsia="宋体"/>
                <w:b/>
                <w:sz w:val="24"/>
              </w:rPr>
            </w:pPr>
            <w:r>
              <w:rPr>
                <w:rFonts w:hint="eastAsia" w:ascii="宋体" w:hAnsi="宋体" w:eastAsia="宋体"/>
                <w:b/>
                <w:sz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pPr>
              <w:jc w:val="center"/>
              <w:rPr>
                <w:rFonts w:ascii="宋体" w:hAnsi="宋体" w:eastAsia="宋体"/>
                <w:sz w:val="24"/>
              </w:rPr>
            </w:pPr>
            <w:r>
              <w:rPr>
                <w:rFonts w:hint="eastAsia" w:ascii="宋体" w:hAnsi="宋体" w:eastAsia="宋体"/>
                <w:sz w:val="24"/>
              </w:rPr>
              <w:t>1</w:t>
            </w:r>
          </w:p>
        </w:tc>
        <w:tc>
          <w:tcPr>
            <w:tcW w:w="3109" w:type="dxa"/>
            <w:vAlign w:val="center"/>
          </w:tcPr>
          <w:p>
            <w:pPr>
              <w:jc w:val="center"/>
              <w:rPr>
                <w:rFonts w:ascii="宋体" w:hAnsi="宋体" w:eastAsia="宋体"/>
                <w:sz w:val="24"/>
              </w:rPr>
            </w:pP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宋体" w:hAnsi="宋体" w:eastAsia="宋体"/>
                <w:sz w:val="24"/>
              </w:rPr>
            </w:pPr>
            <w:r>
              <w:rPr>
                <w:rFonts w:hint="eastAsia" w:ascii="宋体" w:hAnsi="宋体" w:eastAsia="宋体"/>
                <w:sz w:val="24"/>
              </w:rPr>
              <w:t>2</w:t>
            </w:r>
          </w:p>
        </w:tc>
        <w:tc>
          <w:tcPr>
            <w:tcW w:w="3109" w:type="dxa"/>
            <w:vAlign w:val="center"/>
          </w:tcPr>
          <w:p>
            <w:pPr>
              <w:jc w:val="center"/>
              <w:rPr>
                <w:rFonts w:ascii="宋体" w:hAnsi="宋体" w:eastAsia="宋体"/>
                <w:sz w:val="24"/>
              </w:rPr>
            </w:pP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宋体" w:hAnsi="宋体" w:eastAsia="宋体"/>
                <w:sz w:val="24"/>
              </w:rPr>
            </w:pPr>
            <w:r>
              <w:rPr>
                <w:rFonts w:hint="eastAsia" w:ascii="宋体" w:hAnsi="宋体" w:eastAsia="宋体"/>
                <w:sz w:val="24"/>
              </w:rPr>
              <w:t>3</w:t>
            </w:r>
          </w:p>
        </w:tc>
        <w:tc>
          <w:tcPr>
            <w:tcW w:w="3109" w:type="dxa"/>
            <w:vAlign w:val="center"/>
          </w:tcPr>
          <w:p>
            <w:pPr>
              <w:jc w:val="center"/>
              <w:rPr>
                <w:rFonts w:ascii="宋体" w:hAnsi="宋体" w:eastAsia="宋体"/>
                <w:sz w:val="24"/>
              </w:rPr>
            </w:pP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宋体" w:hAnsi="宋体" w:eastAsia="宋体"/>
                <w:sz w:val="24"/>
              </w:rPr>
            </w:pPr>
            <w:r>
              <w:rPr>
                <w:rFonts w:ascii="宋体" w:hAnsi="宋体" w:eastAsia="宋体"/>
                <w:sz w:val="24"/>
              </w:rPr>
              <w:t>…</w:t>
            </w:r>
          </w:p>
        </w:tc>
        <w:tc>
          <w:tcPr>
            <w:tcW w:w="3109" w:type="dxa"/>
            <w:vAlign w:val="center"/>
          </w:tcPr>
          <w:p>
            <w:pPr>
              <w:jc w:val="center"/>
              <w:rPr>
                <w:rFonts w:ascii="宋体" w:hAnsi="宋体" w:eastAsia="宋体"/>
                <w:sz w:val="24"/>
              </w:rPr>
            </w:pP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宋体" w:hAnsi="宋体" w:eastAsia="宋体"/>
                <w:sz w:val="24"/>
              </w:rPr>
            </w:pPr>
          </w:p>
        </w:tc>
        <w:tc>
          <w:tcPr>
            <w:tcW w:w="3109" w:type="dxa"/>
            <w:vAlign w:val="center"/>
          </w:tcPr>
          <w:p>
            <w:pPr>
              <w:pStyle w:val="61"/>
              <w:ind w:left="-108"/>
              <w:jc w:val="center"/>
              <w:rPr>
                <w:rFonts w:ascii="宋体" w:hAnsi="宋体"/>
              </w:rPr>
            </w:pPr>
            <w:r>
              <w:rPr>
                <w:rFonts w:hint="eastAsia" w:ascii="宋体" w:hAnsi="宋体"/>
              </w:rPr>
              <w:t>其他费用</w:t>
            </w: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pPr>
              <w:jc w:val="center"/>
              <w:rPr>
                <w:rFonts w:ascii="宋体" w:hAnsi="宋体" w:eastAsia="宋体"/>
                <w:sz w:val="24"/>
              </w:rPr>
            </w:pPr>
          </w:p>
        </w:tc>
        <w:tc>
          <w:tcPr>
            <w:tcW w:w="3109" w:type="dxa"/>
            <w:vAlign w:val="center"/>
          </w:tcPr>
          <w:p>
            <w:pPr>
              <w:jc w:val="center"/>
              <w:rPr>
                <w:rFonts w:ascii="宋体" w:hAnsi="宋体" w:eastAsia="宋体"/>
                <w:sz w:val="24"/>
              </w:rPr>
            </w:pPr>
            <w:r>
              <w:rPr>
                <w:rFonts w:ascii="宋体" w:hAnsi="宋体" w:eastAsia="宋体"/>
                <w:sz w:val="24"/>
              </w:rPr>
              <w:t>……</w:t>
            </w:r>
          </w:p>
        </w:tc>
        <w:tc>
          <w:tcPr>
            <w:tcW w:w="1357" w:type="dxa"/>
            <w:vAlign w:val="center"/>
          </w:tcPr>
          <w:p>
            <w:pPr>
              <w:jc w:val="center"/>
              <w:rPr>
                <w:rFonts w:ascii="宋体" w:hAnsi="宋体" w:eastAsia="宋体"/>
                <w:sz w:val="24"/>
              </w:rPr>
            </w:pPr>
          </w:p>
        </w:tc>
        <w:tc>
          <w:tcPr>
            <w:tcW w:w="1698" w:type="dxa"/>
            <w:vAlign w:val="center"/>
          </w:tcPr>
          <w:p>
            <w:pPr>
              <w:jc w:val="center"/>
              <w:rPr>
                <w:rFonts w:ascii="宋体" w:hAnsi="宋体" w:eastAsia="宋体"/>
                <w:sz w:val="24"/>
              </w:rPr>
            </w:pPr>
          </w:p>
        </w:tc>
        <w:tc>
          <w:tcPr>
            <w:tcW w:w="156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pPr>
              <w:jc w:val="center"/>
              <w:rPr>
                <w:rFonts w:ascii="宋体" w:hAnsi="宋体" w:eastAsia="宋体"/>
                <w:sz w:val="24"/>
              </w:rPr>
            </w:pPr>
            <w:r>
              <w:rPr>
                <w:rFonts w:hint="eastAsia" w:ascii="宋体" w:hAnsi="宋体" w:eastAsia="宋体"/>
                <w:b/>
                <w:sz w:val="24"/>
              </w:rPr>
              <w:t>合计金额（元）</w:t>
            </w:r>
          </w:p>
        </w:tc>
        <w:tc>
          <w:tcPr>
            <w:tcW w:w="1568" w:type="dxa"/>
            <w:vAlign w:val="center"/>
          </w:tcPr>
          <w:p>
            <w:pPr>
              <w:jc w:val="center"/>
              <w:rPr>
                <w:rFonts w:ascii="宋体" w:hAnsi="宋体" w:eastAsia="宋体"/>
                <w:sz w:val="24"/>
              </w:rPr>
            </w:pPr>
          </w:p>
        </w:tc>
      </w:tr>
    </w:tbl>
    <w:p>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pPr>
        <w:widowControl/>
        <w:jc w:val="left"/>
        <w:rPr>
          <w:rFonts w:ascii="宋体" w:hAnsi="宋体" w:eastAsia="宋体"/>
          <w:b/>
          <w:bCs/>
          <w:sz w:val="24"/>
          <w:szCs w:val="28"/>
        </w:rPr>
      </w:pPr>
      <w:r>
        <w:rPr>
          <w:rFonts w:ascii="宋体" w:hAnsi="宋体" w:eastAsia="宋体"/>
          <w:b/>
          <w:bCs/>
          <w:sz w:val="24"/>
          <w:szCs w:val="28"/>
        </w:rPr>
        <w:br w:type="page"/>
      </w:r>
    </w:p>
    <w:p>
      <w:pPr>
        <w:numPr>
          <w:ilvl w:val="0"/>
          <w:numId w:val="2"/>
        </w:numPr>
        <w:spacing w:line="360" w:lineRule="auto"/>
        <w:jc w:val="center"/>
        <w:outlineLvl w:val="2"/>
        <w:rPr>
          <w:rFonts w:asciiTheme="minorEastAsia" w:hAnsiTheme="minorEastAsia" w:eastAsiaTheme="minorEastAsia"/>
          <w:b/>
          <w:sz w:val="24"/>
        </w:rPr>
      </w:pPr>
      <w:bookmarkStart w:id="149" w:name="_Toc520983588"/>
      <w:r>
        <w:rPr>
          <w:rFonts w:hint="eastAsia" w:asciiTheme="minorEastAsia" w:hAnsiTheme="minorEastAsia" w:eastAsiaTheme="minorEastAsia"/>
          <w:b/>
          <w:sz w:val="24"/>
        </w:rPr>
        <w:t>最后承诺报价</w:t>
      </w:r>
      <w:bookmarkEnd w:id="149"/>
    </w:p>
    <w:p>
      <w:pPr>
        <w:pStyle w:val="24"/>
        <w:ind w:left="840" w:leftChars="400" w:firstLine="0" w:firstLineChars="0"/>
        <w:jc w:val="center"/>
        <w:rPr>
          <w:rFonts w:asciiTheme="minorEastAsia" w:hAnsiTheme="minorEastAsia" w:eastAsiaTheme="minorEastAsia"/>
          <w:bCs/>
          <w:sz w:val="24"/>
        </w:rPr>
      </w:pPr>
      <w:r>
        <w:rPr>
          <w:rFonts w:hint="eastAsia" w:asciiTheme="minorEastAsia" w:hAnsiTheme="minorEastAsia" w:eastAsiaTheme="minorEastAsia"/>
          <w:bCs/>
          <w:sz w:val="24"/>
        </w:rPr>
        <w:t>（通过徽智采平台进行最终承诺报价）</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2"/>
        <w:rPr>
          <w:rFonts w:asciiTheme="minorEastAsia" w:hAnsiTheme="minorEastAsia" w:eastAsiaTheme="minorEastAsia"/>
          <w:b/>
          <w:sz w:val="24"/>
        </w:rPr>
      </w:pPr>
      <w:bookmarkStart w:id="150" w:name="_Toc520983591"/>
      <w:r>
        <w:rPr>
          <w:rFonts w:hint="eastAsia" w:asciiTheme="minorEastAsia" w:hAnsiTheme="minorEastAsia" w:eastAsiaTheme="minorEastAsia"/>
          <w:b/>
          <w:sz w:val="24"/>
        </w:rPr>
        <w:t>三、磋商响应函</w:t>
      </w:r>
      <w:bookmarkEnd w:id="150"/>
    </w:p>
    <w:p>
      <w:pPr>
        <w:pStyle w:val="13"/>
        <w:spacing w:line="360" w:lineRule="auto"/>
        <w:rPr>
          <w:rFonts w:ascii="宋体" w:hAnsi="宋体"/>
          <w:sz w:val="24"/>
        </w:rPr>
      </w:pPr>
      <w:r>
        <w:rPr>
          <w:rFonts w:hint="eastAsia" w:ascii="宋体" w:hAnsi="宋体"/>
          <w:sz w:val="24"/>
        </w:rPr>
        <w:t>致：安徽交通职业技术学院</w:t>
      </w:r>
    </w:p>
    <w:p>
      <w:pPr>
        <w:pStyle w:val="13"/>
        <w:spacing w:line="360" w:lineRule="auto"/>
        <w:ind w:firstLine="472" w:firstLineChars="196"/>
        <w:rPr>
          <w:rFonts w:ascii="宋体" w:hAnsi="宋体"/>
          <w:sz w:val="24"/>
        </w:rPr>
      </w:pPr>
      <w:r>
        <w:rPr>
          <w:rFonts w:hint="eastAsia" w:ascii="宋体" w:hAnsi="宋体"/>
          <w:sz w:val="24"/>
          <w:szCs w:val="24"/>
        </w:rPr>
        <w:t>安徽中技工程咨询有限公司</w:t>
      </w:r>
    </w:p>
    <w:p>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根据贵方的竞争性磋商邀请公告，我方兹宣布同意如下：</w:t>
      </w:r>
    </w:p>
    <w:p>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1.如我公司成交，我公司承诺愿意按磋商文件规定缴纳履约保证金和成交服务费。按本次磋商文件规定及最后报价承诺供货及安装。</w:t>
      </w:r>
    </w:p>
    <w:p>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并保证于买方要求的日期内完成本项目，并通过买方验收。</w:t>
      </w:r>
    </w:p>
    <w:p>
      <w:pPr>
        <w:spacing w:line="360" w:lineRule="auto"/>
        <w:ind w:firstLine="480" w:firstLineChars="200"/>
        <w:rPr>
          <w:rFonts w:ascii="宋体" w:hAnsi="宋体" w:eastAsia="宋体"/>
          <w:sz w:val="24"/>
        </w:rPr>
      </w:pPr>
      <w:r>
        <w:rPr>
          <w:rFonts w:hint="eastAsia" w:ascii="宋体" w:hAnsi="宋体" w:eastAsia="宋体"/>
          <w:sz w:val="24"/>
        </w:rPr>
        <w:t>3.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spacing w:line="360" w:lineRule="auto"/>
        <w:ind w:firstLine="480" w:firstLineChars="200"/>
        <w:rPr>
          <w:rFonts w:ascii="宋体" w:hAnsi="宋体" w:eastAsia="宋体"/>
          <w:sz w:val="24"/>
        </w:rPr>
      </w:pPr>
      <w:r>
        <w:rPr>
          <w:rFonts w:hint="eastAsia" w:ascii="宋体" w:hAnsi="宋体" w:eastAsia="宋体"/>
          <w:sz w:val="24"/>
        </w:rPr>
        <w:t>4.我方同意从供应商须知规定的磋商日期起遵循本磋商文件，并在供应商须知规定的磋商有效期之前均具有约束力。</w:t>
      </w:r>
    </w:p>
    <w:p>
      <w:pPr>
        <w:spacing w:line="360" w:lineRule="auto"/>
        <w:ind w:firstLine="480" w:firstLineChars="200"/>
        <w:rPr>
          <w:rFonts w:ascii="宋体" w:hAnsi="宋体" w:eastAsia="宋体" w:cs="宋体"/>
          <w:sz w:val="24"/>
        </w:rPr>
      </w:pPr>
      <w:r>
        <w:rPr>
          <w:rFonts w:hint="eastAsia" w:ascii="宋体" w:hAnsi="宋体" w:eastAsia="宋体"/>
          <w:sz w:val="24"/>
        </w:rPr>
        <w:t>5.我方承诺如磋商保证金未在磋商文件规定时间前到达贵方指定的账户，我方磋商无效，由此产生的一切后果由我方承担</w:t>
      </w:r>
      <w:r>
        <w:rPr>
          <w:rFonts w:hint="eastAsia" w:ascii="宋体" w:hAnsi="宋体" w:eastAsia="宋体" w:cs="宋体"/>
          <w:bCs/>
          <w:sz w:val="24"/>
          <w:lang w:val="zh-CN"/>
        </w:rPr>
        <w:t>，且承诺磋商保证金转出账户真实有效</w:t>
      </w:r>
      <w:r>
        <w:rPr>
          <w:rFonts w:hint="eastAsia" w:ascii="宋体" w:hAnsi="宋体" w:eastAsia="宋体" w:cs="宋体"/>
          <w:sz w:val="24"/>
        </w:rPr>
        <w:t>。</w:t>
      </w:r>
    </w:p>
    <w:p>
      <w:pPr>
        <w:spacing w:line="360" w:lineRule="auto"/>
        <w:ind w:firstLine="480" w:firstLineChars="200"/>
        <w:rPr>
          <w:rFonts w:ascii="宋体" w:hAnsi="宋体" w:eastAsia="宋体"/>
          <w:sz w:val="24"/>
        </w:rPr>
      </w:pPr>
      <w:r>
        <w:rPr>
          <w:rFonts w:hint="eastAsia" w:ascii="宋体" w:hAnsi="宋体" w:eastAsia="宋体"/>
          <w:sz w:val="24"/>
        </w:rPr>
        <w:t>6.我方同意按贵方要求在磋商现场规定时间内向贵方提供与其磋商有关的任何证据或补充资料，否则，我方的响应文件可被贵方拒绝。</w:t>
      </w:r>
    </w:p>
    <w:p>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8.我方同意磋商文件规定的付款方式、工期等。</w:t>
      </w:r>
    </w:p>
    <w:p>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pPr>
        <w:spacing w:line="360" w:lineRule="auto"/>
        <w:ind w:firstLine="480" w:firstLineChars="200"/>
        <w:rPr>
          <w:rFonts w:ascii="宋体" w:hAnsi="宋体" w:eastAsia="宋体"/>
          <w:sz w:val="24"/>
        </w:rPr>
      </w:pPr>
      <w:r>
        <w:rPr>
          <w:rFonts w:hint="eastAsia" w:ascii="宋体" w:hAnsi="宋体" w:eastAsia="宋体"/>
          <w:sz w:val="24"/>
        </w:rPr>
        <w:t>10.与本磋商有关的通讯地址：</w:t>
      </w:r>
      <w:r>
        <w:rPr>
          <w:rFonts w:hint="eastAsia" w:ascii="宋体" w:hAnsi="宋体" w:eastAsia="宋体"/>
          <w:sz w:val="24"/>
          <w:u w:val="single"/>
        </w:rPr>
        <w:t xml:space="preserve">                          </w:t>
      </w:r>
    </w:p>
    <w:p>
      <w:pPr>
        <w:spacing w:line="360" w:lineRule="auto"/>
        <w:ind w:firstLine="480" w:firstLineChars="2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r>
        <w:rPr>
          <w:rFonts w:hint="eastAsia" w:ascii="宋体" w:hAnsi="宋体" w:eastAsia="宋体"/>
          <w:sz w:val="24"/>
        </w:rPr>
        <w:t xml:space="preserve">   </w:t>
      </w:r>
    </w:p>
    <w:p>
      <w:pPr>
        <w:spacing w:line="360" w:lineRule="auto"/>
        <w:ind w:firstLine="480" w:firstLineChars="2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spacing w:line="360" w:lineRule="auto"/>
        <w:ind w:firstLine="480" w:firstLineChars="200"/>
        <w:rPr>
          <w:rFonts w:ascii="宋体" w:hAnsi="宋体" w:eastAsia="宋体"/>
          <w:sz w:val="24"/>
          <w:u w:val="single"/>
        </w:rPr>
      </w:pPr>
    </w:p>
    <w:p>
      <w:pPr>
        <w:spacing w:line="360" w:lineRule="auto"/>
        <w:ind w:firstLine="480" w:firstLineChars="200"/>
        <w:rPr>
          <w:rFonts w:ascii="宋体" w:hAnsi="宋体" w:eastAsia="宋体"/>
          <w:sz w:val="24"/>
          <w:u w:val="single"/>
        </w:rPr>
      </w:pPr>
    </w:p>
    <w:p>
      <w:pPr>
        <w:spacing w:line="360" w:lineRule="auto"/>
        <w:ind w:firstLine="480" w:firstLineChars="200"/>
        <w:rPr>
          <w:rFonts w:ascii="宋体" w:hAnsi="宋体" w:eastAsia="宋体"/>
          <w:sz w:val="24"/>
          <w:u w:val="single"/>
        </w:rPr>
      </w:pPr>
    </w:p>
    <w:p>
      <w:pPr>
        <w:pStyle w:val="24"/>
      </w:pPr>
    </w:p>
    <w:p>
      <w:pPr>
        <w:pStyle w:val="24"/>
      </w:pP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四、无重大违法记录声明函、无不良信用记录声明函</w:t>
      </w:r>
    </w:p>
    <w:p>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Theme="minorEastAsia" w:hAnsiTheme="minorEastAsia" w:eastAsiaTheme="minorEastAsia"/>
          <w:sz w:val="24"/>
          <w:szCs w:val="24"/>
        </w:rPr>
      </w:pPr>
      <w:r>
        <w:rPr>
          <w:rFonts w:hint="eastAsia" w:ascii="宋体" w:hAnsi="宋体" w:eastAsia="宋体" w:cs="宋体"/>
          <w:sz w:val="24"/>
          <w:szCs w:val="24"/>
        </w:rPr>
        <w:t>2.本单位郑重声明，我单位无以下不良信用记录情形</w:t>
      </w:r>
      <w:r>
        <w:rPr>
          <w:rFonts w:hint="eastAsia" w:asciiTheme="minorEastAsia" w:hAnsiTheme="minorEastAsia" w:eastAsiaTheme="minorEastAsia"/>
          <w:sz w:val="24"/>
          <w:szCs w:val="24"/>
        </w:rPr>
        <w:t>：</w:t>
      </w:r>
    </w:p>
    <w:p>
      <w:pPr>
        <w:spacing w:line="440" w:lineRule="exact"/>
        <w:ind w:firstLine="435"/>
        <w:rPr>
          <w:rFonts w:ascii="宋体" w:hAnsi="宋体" w:eastAsia="宋体"/>
          <w:sz w:val="24"/>
          <w:szCs w:val="24"/>
        </w:rPr>
      </w:pPr>
      <w:r>
        <w:rPr>
          <w:rFonts w:hint="eastAsia" w:ascii="宋体" w:hAnsi="宋体" w:eastAsia="宋体"/>
          <w:sz w:val="24"/>
          <w:szCs w:val="24"/>
        </w:rPr>
        <w:t>（1）被人民法院列入失信被执行人；</w:t>
      </w:r>
    </w:p>
    <w:p>
      <w:pPr>
        <w:spacing w:line="440" w:lineRule="exact"/>
        <w:ind w:firstLine="435"/>
        <w:rPr>
          <w:rFonts w:ascii="宋体" w:hAnsi="宋体" w:eastAsia="宋体"/>
          <w:sz w:val="24"/>
          <w:szCs w:val="24"/>
        </w:rPr>
      </w:pPr>
      <w:r>
        <w:rPr>
          <w:rFonts w:hint="eastAsia" w:ascii="宋体" w:hAnsi="宋体" w:eastAsia="宋体"/>
          <w:sz w:val="24"/>
          <w:szCs w:val="24"/>
        </w:rPr>
        <w:t>（2）单位、法定代表人或拟派项目经理（项目负责人）被人民检察院列入行贿犯罪档案；</w:t>
      </w:r>
    </w:p>
    <w:p>
      <w:pPr>
        <w:spacing w:line="440" w:lineRule="exact"/>
        <w:ind w:firstLine="435"/>
        <w:rPr>
          <w:rFonts w:ascii="宋体" w:hAnsi="宋体" w:eastAsia="宋体"/>
          <w:sz w:val="24"/>
          <w:szCs w:val="24"/>
        </w:rPr>
      </w:pPr>
      <w:r>
        <w:rPr>
          <w:rFonts w:hint="eastAsia" w:ascii="宋体" w:hAnsi="宋体" w:eastAsia="宋体"/>
          <w:sz w:val="24"/>
          <w:szCs w:val="24"/>
        </w:rPr>
        <w:t>（3）被工商行政管理部门列入企业经营异常名录；</w:t>
      </w:r>
    </w:p>
    <w:p>
      <w:pPr>
        <w:spacing w:line="440" w:lineRule="exact"/>
        <w:ind w:firstLine="435"/>
        <w:rPr>
          <w:rFonts w:ascii="宋体" w:hAnsi="宋体" w:eastAsia="宋体"/>
          <w:sz w:val="24"/>
          <w:szCs w:val="24"/>
        </w:rPr>
      </w:pPr>
      <w:r>
        <w:rPr>
          <w:rFonts w:hint="eastAsia" w:ascii="宋体" w:hAnsi="宋体" w:eastAsia="宋体"/>
          <w:sz w:val="24"/>
          <w:szCs w:val="24"/>
        </w:rPr>
        <w:t>（4）被税务部门列入重大税收违法案件当事人名单；</w:t>
      </w:r>
    </w:p>
    <w:p>
      <w:pPr>
        <w:spacing w:line="440" w:lineRule="exact"/>
        <w:ind w:firstLine="435"/>
        <w:rPr>
          <w:rFonts w:ascii="宋体" w:hAnsi="宋体" w:eastAsia="宋体"/>
          <w:sz w:val="24"/>
          <w:szCs w:val="24"/>
        </w:rPr>
      </w:pPr>
      <w:r>
        <w:rPr>
          <w:rFonts w:hint="eastAsia" w:ascii="宋体" w:hAnsi="宋体" w:eastAsia="宋体"/>
          <w:sz w:val="24"/>
          <w:szCs w:val="24"/>
        </w:rPr>
        <w:t>（5）被政府采购监管部门列入政府采购严重违法失信行为记录名单。</w:t>
      </w:r>
    </w:p>
    <w:p>
      <w:pPr>
        <w:spacing w:line="440" w:lineRule="exact"/>
        <w:ind w:firstLine="435"/>
        <w:jc w:val="left"/>
        <w:rPr>
          <w:rFonts w:ascii="宋体" w:hAnsi="宋体" w:eastAsia="宋体"/>
          <w:sz w:val="24"/>
          <w:szCs w:val="24"/>
        </w:rPr>
      </w:pPr>
      <w:r>
        <w:rPr>
          <w:rFonts w:hint="eastAsia" w:ascii="宋体" w:hAnsi="宋体" w:eastAsia="宋体"/>
          <w:sz w:val="24"/>
          <w:szCs w:val="24"/>
        </w:rPr>
        <w:t>（6）供应商被合肥市城乡建设局因安全生产责任事故限制在合肥行政区域内承接新的工程项目且在限制期内。</w:t>
      </w:r>
    </w:p>
    <w:p>
      <w:pPr>
        <w:spacing w:line="440" w:lineRule="exact"/>
        <w:ind w:firstLine="435"/>
        <w:rPr>
          <w:rFonts w:ascii="宋体" w:hAnsi="宋体" w:eastAsia="宋体"/>
          <w:sz w:val="24"/>
          <w:szCs w:val="24"/>
        </w:rPr>
      </w:pPr>
    </w:p>
    <w:p>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供应商电子签章：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pPr>
        <w:widowControl/>
        <w:jc w:val="left"/>
        <w:rPr>
          <w:rFonts w:ascii="宋体" w:hAnsi="宋体" w:eastAsia="宋体"/>
          <w:sz w:val="24"/>
          <w:u w:val="single"/>
        </w:rPr>
      </w:pPr>
      <w:r>
        <w:rPr>
          <w:rFonts w:ascii="宋体" w:hAnsi="宋体" w:eastAsia="宋体"/>
          <w:sz w:val="24"/>
          <w:u w:val="single"/>
        </w:rPr>
        <w:br w:type="page"/>
      </w:r>
    </w:p>
    <w:p>
      <w:pPr>
        <w:spacing w:line="360" w:lineRule="auto"/>
        <w:jc w:val="center"/>
        <w:outlineLvl w:val="2"/>
        <w:rPr>
          <w:rFonts w:asciiTheme="minorEastAsia" w:hAnsiTheme="minorEastAsia" w:eastAsiaTheme="minorEastAsia"/>
          <w:b/>
          <w:sz w:val="24"/>
        </w:rPr>
      </w:pPr>
      <w:bookmarkStart w:id="151" w:name="_Toc520983594"/>
      <w:bookmarkStart w:id="152" w:name="_Toc516969106"/>
      <w:bookmarkStart w:id="153" w:name="_Toc204594911"/>
      <w:bookmarkStart w:id="154" w:name="_Toc121626298"/>
      <w:r>
        <w:rPr>
          <w:rFonts w:hint="eastAsia" w:asciiTheme="minorEastAsia" w:hAnsiTheme="minorEastAsia" w:eastAsiaTheme="minorEastAsia"/>
          <w:b/>
          <w:sz w:val="24"/>
        </w:rPr>
        <w:t>五、授权书</w:t>
      </w:r>
      <w:bookmarkEnd w:id="151"/>
      <w:bookmarkEnd w:id="152"/>
      <w:bookmarkEnd w:id="153"/>
      <w:bookmarkEnd w:id="154"/>
    </w:p>
    <w:p>
      <w:pPr>
        <w:spacing w:line="360" w:lineRule="auto"/>
        <w:jc w:val="center"/>
        <w:rPr>
          <w:rFonts w:asciiTheme="minorEastAsia" w:hAnsiTheme="minorEastAsia" w:eastAsiaTheme="minorEastAsia"/>
          <w:b/>
          <w:sz w:val="24"/>
        </w:rPr>
      </w:pP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12"/>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身份证明扫描件或影印件：</w:t>
      </w: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rPr>
          <w:rFonts w:ascii="宋体" w:hAnsi="宋体" w:eastAsia="宋体"/>
          <w:bCs/>
          <w:sz w:val="24"/>
          <w:szCs w:val="28"/>
        </w:rPr>
      </w:pPr>
      <w:r>
        <w:rPr>
          <w:rFonts w:hint="eastAsia" w:ascii="宋体" w:hAnsi="宋体" w:eastAsia="宋体"/>
          <w:bCs/>
          <w:sz w:val="24"/>
          <w:szCs w:val="28"/>
        </w:rPr>
        <w:t>供应商电子签章：</w:t>
      </w:r>
      <w:r>
        <w:rPr>
          <w:rFonts w:hint="eastAsia" w:ascii="宋体" w:hAnsi="宋体" w:eastAsia="宋体"/>
          <w:bCs/>
          <w:sz w:val="24"/>
          <w:szCs w:val="28"/>
          <w:u w:val="single"/>
        </w:rPr>
        <w:t xml:space="preserve">                    </w:t>
      </w:r>
    </w:p>
    <w:p>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1.本项目只允许有唯一的供应商授权代表，提供身份证明扫描件或影印件；</w:t>
      </w:r>
    </w:p>
    <w:p>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2.法定代表人参加磋商的无需提供授权书，仅提供身份证明扫描件或影印件。</w:t>
      </w:r>
    </w:p>
    <w:p>
      <w:pPr>
        <w:pStyle w:val="5"/>
        <w:jc w:val="center"/>
        <w:rPr>
          <w:rFonts w:asciiTheme="minorEastAsia" w:hAnsiTheme="minorEastAsia" w:eastAsiaTheme="minorEastAsia"/>
          <w:sz w:val="24"/>
          <w:szCs w:val="24"/>
        </w:rPr>
      </w:pPr>
      <w:r>
        <w:rPr>
          <w:rFonts w:ascii="宋体" w:hAnsi="宋体" w:eastAsia="宋体"/>
          <w:sz w:val="24"/>
        </w:rPr>
        <w:br w:type="page"/>
      </w:r>
      <w:r>
        <w:rPr>
          <w:rFonts w:hint="eastAsia" w:asciiTheme="minorEastAsia" w:hAnsiTheme="minorEastAsia" w:eastAsiaTheme="minorEastAsia"/>
          <w:sz w:val="24"/>
          <w:szCs w:val="24"/>
        </w:rPr>
        <w:t>法定代表人身份证明书</w:t>
      </w:r>
    </w:p>
    <w:p>
      <w:pPr>
        <w:autoSpaceDE w:val="0"/>
        <w:autoSpaceDN w:val="0"/>
        <w:adjustRightInd w:val="0"/>
        <w:spacing w:line="360" w:lineRule="auto"/>
        <w:jc w:val="center"/>
        <w:rPr>
          <w:rFonts w:hAnsi="宋体" w:cs="宋体"/>
          <w:b/>
          <w:szCs w:val="24"/>
          <w:lang w:val="zh-CN"/>
        </w:rPr>
      </w:pP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单位名称：</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单位性质：</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地    址：</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成立时间：</w:t>
      </w:r>
      <w:r>
        <w:rPr>
          <w:rFonts w:hint="eastAsia" w:hAnsi="宋体" w:eastAsia="宋体"/>
          <w:sz w:val="24"/>
          <w:szCs w:val="28"/>
          <w:u w:val="single"/>
        </w:rPr>
        <w:t xml:space="preserve">              </w:t>
      </w:r>
      <w:r>
        <w:rPr>
          <w:rFonts w:hint="eastAsia" w:hAnsi="宋体" w:eastAsia="宋体"/>
          <w:sz w:val="24"/>
          <w:szCs w:val="28"/>
        </w:rPr>
        <w:t>年</w:t>
      </w:r>
      <w:r>
        <w:rPr>
          <w:rFonts w:hint="eastAsia" w:hAnsi="宋体" w:eastAsia="宋体"/>
          <w:sz w:val="24"/>
          <w:szCs w:val="28"/>
          <w:u w:val="single"/>
        </w:rPr>
        <w:t xml:space="preserve">         </w:t>
      </w:r>
      <w:r>
        <w:rPr>
          <w:rFonts w:hint="eastAsia" w:hAnsi="宋体" w:eastAsia="宋体"/>
          <w:sz w:val="24"/>
          <w:szCs w:val="28"/>
        </w:rPr>
        <w:t>月</w:t>
      </w:r>
      <w:r>
        <w:rPr>
          <w:rFonts w:hint="eastAsia" w:hAnsi="宋体" w:eastAsia="宋体"/>
          <w:sz w:val="24"/>
          <w:szCs w:val="28"/>
          <w:u w:val="single"/>
        </w:rPr>
        <w:t xml:space="preserve">        </w:t>
      </w:r>
      <w:r>
        <w:rPr>
          <w:rFonts w:hint="eastAsia" w:hAnsi="宋体" w:eastAsia="宋体"/>
          <w:sz w:val="24"/>
          <w:szCs w:val="28"/>
        </w:rPr>
        <w:t>日</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经营期限：</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姓    名：</w:t>
      </w:r>
      <w:r>
        <w:rPr>
          <w:rFonts w:hint="eastAsia" w:hAnsi="宋体" w:eastAsia="宋体"/>
          <w:sz w:val="24"/>
          <w:szCs w:val="28"/>
          <w:u w:val="single"/>
        </w:rPr>
        <w:t xml:space="preserve">                  </w:t>
      </w:r>
      <w:r>
        <w:rPr>
          <w:rFonts w:hint="eastAsia" w:hAnsi="宋体" w:eastAsia="宋体"/>
          <w:sz w:val="24"/>
          <w:szCs w:val="28"/>
        </w:rPr>
        <w:t xml:space="preserve"> 性别：</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年    龄：</w:t>
      </w:r>
      <w:r>
        <w:rPr>
          <w:rFonts w:hint="eastAsia" w:hAnsi="宋体" w:eastAsia="宋体"/>
          <w:sz w:val="24"/>
          <w:szCs w:val="28"/>
          <w:u w:val="single"/>
        </w:rPr>
        <w:t xml:space="preserve">                  </w:t>
      </w:r>
      <w:r>
        <w:rPr>
          <w:rFonts w:hint="eastAsia" w:hAnsi="宋体" w:eastAsia="宋体"/>
          <w:sz w:val="24"/>
          <w:szCs w:val="28"/>
        </w:rPr>
        <w:t xml:space="preserve"> 职务：</w:t>
      </w:r>
      <w:r>
        <w:rPr>
          <w:rFonts w:hint="eastAsia" w:hAnsi="宋体" w:eastAsia="宋体"/>
          <w:sz w:val="24"/>
          <w:szCs w:val="28"/>
          <w:u w:val="single"/>
        </w:rPr>
        <w:t xml:space="preserve">             </w:t>
      </w:r>
      <w:r>
        <w:rPr>
          <w:rFonts w:hint="eastAsia" w:hAnsi="宋体" w:eastAsia="宋体"/>
          <w:sz w:val="24"/>
          <w:szCs w:val="28"/>
        </w:rPr>
        <w:t xml:space="preserve">     </w:t>
      </w:r>
    </w:p>
    <w:p>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u w:val="single"/>
        </w:rPr>
        <w:t xml:space="preserve">        </w:t>
      </w:r>
      <w:r>
        <w:rPr>
          <w:rFonts w:hint="eastAsia" w:hAnsi="宋体" w:eastAsia="宋体"/>
          <w:sz w:val="24"/>
          <w:szCs w:val="28"/>
        </w:rPr>
        <w:t xml:space="preserve">系  </w:t>
      </w:r>
      <w:r>
        <w:rPr>
          <w:rFonts w:hint="eastAsia" w:hAnsi="宋体" w:eastAsia="宋体"/>
          <w:sz w:val="24"/>
          <w:szCs w:val="28"/>
          <w:u w:val="single"/>
        </w:rPr>
        <w:t xml:space="preserve">   （供应商单位名称）       </w:t>
      </w:r>
      <w:r>
        <w:rPr>
          <w:rFonts w:hint="eastAsia" w:hAnsi="宋体" w:eastAsia="宋体"/>
          <w:sz w:val="24"/>
          <w:szCs w:val="28"/>
        </w:rPr>
        <w:t>的法定代表人。</w:t>
      </w:r>
    </w:p>
    <w:p>
      <w:pPr>
        <w:spacing w:before="62" w:beforeLines="20" w:after="62" w:afterLines="20" w:line="540" w:lineRule="exact"/>
        <w:ind w:firstLine="610"/>
        <w:rPr>
          <w:rFonts w:hAnsi="宋体" w:cs="宋体"/>
          <w:sz w:val="24"/>
          <w:szCs w:val="24"/>
        </w:rPr>
      </w:pPr>
    </w:p>
    <w:p>
      <w:pPr>
        <w:pStyle w:val="9"/>
        <w:spacing w:before="62" w:beforeLines="20" w:after="62" w:afterLines="20" w:line="540" w:lineRule="exact"/>
        <w:ind w:firstLine="240" w:firstLineChars="100"/>
        <w:rPr>
          <w:rFonts w:ascii="宋体" w:hAnsi="宋体" w:cs="宋体"/>
          <w:sz w:val="24"/>
          <w:szCs w:val="24"/>
        </w:rPr>
      </w:pPr>
      <w:r>
        <w:rPr>
          <w:rFonts w:hint="eastAsia" w:ascii="宋体" w:hAnsi="宋体" w:cs="宋体"/>
          <w:sz w:val="24"/>
          <w:szCs w:val="24"/>
        </w:rPr>
        <w:t>特此证明。</w:t>
      </w:r>
    </w:p>
    <w:p>
      <w:pPr>
        <w:tabs>
          <w:tab w:val="left" w:pos="720"/>
          <w:tab w:val="left" w:pos="900"/>
        </w:tabs>
        <w:spacing w:before="62" w:beforeLines="20" w:after="62" w:afterLines="20" w:line="540" w:lineRule="exact"/>
        <w:ind w:firstLine="480" w:firstLineChars="200"/>
        <w:rPr>
          <w:rFonts w:hAnsi="宋体" w:cs="宋体"/>
          <w:sz w:val="24"/>
          <w:szCs w:val="24"/>
        </w:rPr>
      </w:pPr>
    </w:p>
    <w:p>
      <w:pPr>
        <w:tabs>
          <w:tab w:val="left" w:pos="720"/>
          <w:tab w:val="left" w:pos="900"/>
        </w:tabs>
        <w:spacing w:before="62" w:beforeLines="20" w:after="62" w:afterLines="20" w:line="540" w:lineRule="exact"/>
        <w:ind w:firstLine="480" w:firstLineChars="200"/>
        <w:rPr>
          <w:rFonts w:hAnsi="宋体" w:cs="宋体"/>
          <w:sz w:val="24"/>
          <w:szCs w:val="24"/>
        </w:rPr>
      </w:pPr>
    </w:p>
    <w:p>
      <w:pPr>
        <w:tabs>
          <w:tab w:val="left" w:pos="720"/>
          <w:tab w:val="left" w:pos="900"/>
        </w:tabs>
        <w:spacing w:before="62" w:beforeLines="20" w:after="62" w:afterLines="20" w:line="540" w:lineRule="exact"/>
        <w:ind w:firstLine="4560" w:firstLineChars="1900"/>
        <w:rPr>
          <w:rFonts w:hAnsi="宋体" w:cs="宋体"/>
          <w:sz w:val="24"/>
          <w:szCs w:val="24"/>
        </w:rPr>
      </w:pPr>
    </w:p>
    <w:p>
      <w:pPr>
        <w:spacing w:line="360" w:lineRule="auto"/>
        <w:ind w:firstLine="3840" w:firstLineChars="16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供应商电子签章：</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pPr>
        <w:spacing w:line="360" w:lineRule="auto"/>
        <w:ind w:firstLine="3840" w:firstLineChars="16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期：</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pPr>
        <w:widowControl/>
        <w:jc w:val="left"/>
        <w:rPr>
          <w:rFonts w:asciiTheme="minorEastAsia" w:hAnsiTheme="minorEastAsia" w:eastAsiaTheme="minorEastAsia"/>
          <w:b/>
          <w:bCs/>
          <w:sz w:val="24"/>
          <w:szCs w:val="24"/>
        </w:rPr>
      </w:pPr>
      <w:r>
        <w:rPr>
          <w:rFonts w:asciiTheme="minorEastAsia" w:hAnsiTheme="minorEastAsia" w:eastAsiaTheme="minorEastAsia"/>
          <w:sz w:val="24"/>
          <w:szCs w:val="24"/>
        </w:rPr>
        <w:br w:type="page"/>
      </w:r>
    </w:p>
    <w:p>
      <w:pPr>
        <w:widowControl/>
        <w:jc w:val="left"/>
        <w:rPr>
          <w:rFonts w:ascii="宋体" w:hAnsi="宋体" w:eastAsia="宋体"/>
          <w:sz w:val="24"/>
        </w:rPr>
      </w:pP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六、商务响应表</w:t>
      </w:r>
    </w:p>
    <w:p>
      <w:pPr>
        <w:spacing w:line="360" w:lineRule="auto"/>
        <w:ind w:firstLine="435"/>
        <w:rPr>
          <w:rFonts w:asciiTheme="minorEastAsia" w:hAnsiTheme="minorEastAsia" w:eastAsiaTheme="minorEastAsia"/>
          <w:b/>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12"/>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pPr>
              <w:pStyle w:val="12"/>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pPr>
              <w:pStyle w:val="12"/>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pPr>
              <w:pStyle w:val="12"/>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12"/>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服务地点</w:t>
            </w:r>
          </w:p>
        </w:tc>
        <w:tc>
          <w:tcPr>
            <w:tcW w:w="2497"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服务期限</w:t>
            </w:r>
          </w:p>
        </w:tc>
        <w:tc>
          <w:tcPr>
            <w:tcW w:w="2497" w:type="dxa"/>
            <w:vAlign w:val="center"/>
          </w:tcPr>
          <w:p>
            <w:pPr>
              <w:jc w:val="center"/>
              <w:rPr>
                <w:rFonts w:asciiTheme="minorEastAsia" w:hAnsiTheme="minorEastAsia" w:eastAsiaTheme="minorEastAsia"/>
                <w:sz w:val="24"/>
              </w:rPr>
            </w:pPr>
          </w:p>
        </w:tc>
        <w:tc>
          <w:tcPr>
            <w:tcW w:w="2575" w:type="dxa"/>
            <w:vAlign w:val="center"/>
          </w:tcPr>
          <w:p>
            <w:pPr>
              <w:pStyle w:val="61"/>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pPr>
              <w:jc w:val="center"/>
              <w:rPr>
                <w:rFonts w:asciiTheme="minorEastAsia" w:hAnsiTheme="minorEastAsia" w:eastAsiaTheme="minorEastAsia"/>
                <w:sz w:val="24"/>
              </w:rPr>
            </w:pPr>
          </w:p>
        </w:tc>
        <w:tc>
          <w:tcPr>
            <w:tcW w:w="2497" w:type="dxa"/>
            <w:vAlign w:val="center"/>
          </w:tcPr>
          <w:p>
            <w:pPr>
              <w:jc w:val="center"/>
              <w:rPr>
                <w:rFonts w:asciiTheme="minorEastAsia" w:hAnsiTheme="minorEastAsia" w:eastAsiaTheme="minorEastAsia"/>
                <w:sz w:val="24"/>
              </w:rPr>
            </w:pP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bl>
    <w:p>
      <w:pPr>
        <w:pStyle w:val="13"/>
        <w:spacing w:line="360" w:lineRule="auto"/>
        <w:rPr>
          <w:rFonts w:asciiTheme="minorEastAsia" w:hAnsiTheme="minorEastAsia" w:eastAsiaTheme="minorEastAsia"/>
          <w:sz w:val="24"/>
        </w:rPr>
      </w:pPr>
      <w:r>
        <w:rPr>
          <w:rFonts w:asciiTheme="minorEastAsia" w:hAnsiTheme="minorEastAsia" w:eastAsiaTheme="minorEastAsia"/>
          <w:sz w:val="24"/>
        </w:rPr>
        <w:br w:type="page"/>
      </w:r>
    </w:p>
    <w:p>
      <w:pPr>
        <w:pStyle w:val="5"/>
        <w:jc w:val="center"/>
        <w:rPr>
          <w:rFonts w:asciiTheme="minorEastAsia" w:hAnsiTheme="minorEastAsia" w:eastAsiaTheme="minorEastAsia"/>
          <w:sz w:val="24"/>
          <w:szCs w:val="24"/>
        </w:rPr>
      </w:pPr>
      <w:r>
        <w:rPr>
          <w:rFonts w:hint="eastAsia" w:asciiTheme="minorEastAsia" w:hAnsiTheme="minorEastAsia" w:eastAsiaTheme="minorEastAsia"/>
          <w:sz w:val="24"/>
        </w:rPr>
        <w:t>七、</w:t>
      </w:r>
      <w:r>
        <w:rPr>
          <w:rFonts w:hint="eastAsia" w:asciiTheme="minorEastAsia" w:hAnsiTheme="minorEastAsia" w:eastAsiaTheme="minorEastAsia"/>
          <w:sz w:val="24"/>
          <w:szCs w:val="24"/>
        </w:rPr>
        <w:t>承诺函</w:t>
      </w:r>
    </w:p>
    <w:p>
      <w:pPr>
        <w:spacing w:line="360" w:lineRule="auto"/>
        <w:rPr>
          <w:rFonts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某采购单位、某代理机构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我单位参与本项目竞争性磋商，现郑重承诺如下：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一、我单位对正常运行及经营的合法性、真实性及有效性负完全责任，并随时无条件配合采购人对我单位营业执照有效性进一步核查。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二、若我单位成交，将严格按照国家及省市行业主管部门规定在项目所在地办理施工许可（如需），并在项目所在地交纳相关税费。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三、我单位近三年内，未发生重大质量事故和重大安全事故；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四、我单位在本项目磋商有效期内，在本项目所在区域未存在因质量事故、安全事故等被限期承包工程或市场不良行为等被限制磋商资格行为，且处于处罚期内的情况；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五、我单位近一年内，未发生因拖欠农民工工资被行业管理部门处罚情况；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六、我单位近一年内，在项目所在地未出现被相关行业主管部门限制磋商资格情况。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七、我单位近一年内，未受到在市场行为、施工质量、安全等方面被市级及以上行业管理部门处罚的情况。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八、本项目授权委托人为我单位人员，不存在挂靠行为，否则承担相应法律责任，并随时无条件配合监管部门调查取证。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九、我单位一旦成交，将在磋商文件规定时间内缴纳相关费用、领取成交通知书，并与采购人联系并签订合同，组织进场施工事宜，否则贵单位有权取消我单位成交资格。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磋商保证金不予退还，同时贵单位可向我单位进一步追偿工期延误造成的一切损失。</w:t>
      </w:r>
      <w:r>
        <w:rPr>
          <w:rFonts w:hint="eastAsia" w:ascii="宋体" w:hAnsi="宋体" w:eastAsia="宋体" w:cs="宋体"/>
          <w:i/>
          <w:sz w:val="24"/>
          <w:szCs w:val="24"/>
        </w:rPr>
        <w:t>（本条仅针对安徽省外建筑业企业，安徽省内建筑业企业此条不需要承诺）</w:t>
      </w:r>
    </w:p>
    <w:p>
      <w:pPr>
        <w:spacing w:line="360" w:lineRule="auto"/>
        <w:ind w:firstLine="4200" w:firstLineChars="1750"/>
        <w:rPr>
          <w:rFonts w:ascii="宋体" w:hAnsi="宋体" w:eastAsia="宋体" w:cs="宋体"/>
          <w:sz w:val="24"/>
          <w:szCs w:val="24"/>
        </w:rPr>
      </w:pPr>
      <w:r>
        <w:rPr>
          <w:rFonts w:hint="eastAsia" w:ascii="宋体" w:hAnsi="宋体" w:eastAsia="宋体" w:cs="宋体"/>
          <w:sz w:val="24"/>
          <w:szCs w:val="24"/>
        </w:rPr>
        <w:t>供应商电子签章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jc w:val="center"/>
        <w:rPr>
          <w:rFonts w:asciiTheme="minorEastAsia" w:hAnsiTheme="minorEastAsia" w:eastAsiaTheme="minorEastAsia"/>
          <w:b/>
          <w:sz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asciiTheme="minorEastAsia" w:hAnsiTheme="minorEastAsia" w:eastAsiaTheme="minorEastAsia"/>
          <w:sz w:val="24"/>
        </w:rPr>
        <w:br w:type="page"/>
      </w:r>
      <w:r>
        <w:rPr>
          <w:rFonts w:hint="eastAsia" w:asciiTheme="minorEastAsia" w:hAnsiTheme="minorEastAsia" w:eastAsiaTheme="minorEastAsia"/>
          <w:b/>
          <w:sz w:val="24"/>
        </w:rPr>
        <w:t>八、磋商业绩承诺函</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我单位承诺：响应文件中所提供的业绩均真实有效，若被发现存在任何虚假、隐瞒情况，我单位承担由此产生的一切后果。</w:t>
      </w:r>
    </w:p>
    <w:p>
      <w:pPr>
        <w:spacing w:line="360" w:lineRule="auto"/>
        <w:ind w:firstLine="435"/>
        <w:rPr>
          <w:rFonts w:asciiTheme="minorEastAsia" w:hAnsiTheme="minorEastAsia" w:eastAsiaTheme="minorEastAsia"/>
          <w:sz w:val="24"/>
        </w:rPr>
      </w:pP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供应商电子签章：</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tabs>
          <w:tab w:val="left" w:pos="630"/>
        </w:tabs>
        <w:spacing w:line="360" w:lineRule="auto"/>
        <w:ind w:firstLine="3700" w:firstLineChars="1762"/>
        <w:rPr>
          <w:rFonts w:asciiTheme="minorEastAsia" w:hAnsiTheme="minorEastAsia" w:eastAsiaTheme="minorEastAsia"/>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4106"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528" w:type="dxa"/>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签订时间</w:t>
            </w:r>
          </w:p>
        </w:tc>
        <w:tc>
          <w:tcPr>
            <w:tcW w:w="948"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106" w:type="dxa"/>
            <w:vAlign w:val="center"/>
          </w:tcPr>
          <w:p>
            <w:pPr>
              <w:spacing w:line="360" w:lineRule="auto"/>
              <w:rPr>
                <w:rFonts w:asciiTheme="minorEastAsia" w:hAnsiTheme="minorEastAsia" w:eastAsiaTheme="minorEastAsia"/>
                <w:sz w:val="24"/>
                <w:szCs w:val="24"/>
              </w:rPr>
            </w:pPr>
          </w:p>
        </w:tc>
        <w:tc>
          <w:tcPr>
            <w:tcW w:w="2528" w:type="dxa"/>
            <w:vAlign w:val="center"/>
          </w:tcPr>
          <w:p>
            <w:pPr>
              <w:spacing w:line="360" w:lineRule="auto"/>
              <w:rPr>
                <w:rFonts w:asciiTheme="minorEastAsia" w:hAnsiTheme="minorEastAsia" w:eastAsiaTheme="minorEastAsia"/>
                <w:sz w:val="24"/>
                <w:szCs w:val="24"/>
              </w:rPr>
            </w:pPr>
          </w:p>
        </w:tc>
        <w:tc>
          <w:tcPr>
            <w:tcW w:w="948" w:type="dxa"/>
            <w:vAlign w:val="center"/>
          </w:tcPr>
          <w:p>
            <w:pPr>
              <w:spacing w:line="360" w:lineRule="auto"/>
              <w:rPr>
                <w:rFonts w:asciiTheme="minorEastAsia" w:hAnsiTheme="minorEastAsia" w:eastAsiaTheme="minorEastAsia"/>
                <w:sz w:val="24"/>
                <w:szCs w:val="24"/>
              </w:rPr>
            </w:pPr>
          </w:p>
        </w:tc>
      </w:tr>
    </w:tbl>
    <w:p>
      <w:pPr>
        <w:adjustRightInd w:val="0"/>
        <w:snapToGrid w:val="0"/>
        <w:spacing w:line="360" w:lineRule="auto"/>
        <w:rPr>
          <w:rFonts w:asciiTheme="minorEastAsia" w:hAnsiTheme="minorEastAsia" w:eastAsiaTheme="minorEastAsia"/>
          <w:b/>
          <w:bCs/>
          <w:sz w:val="24"/>
          <w:szCs w:val="28"/>
        </w:rPr>
      </w:pPr>
    </w:p>
    <w:p>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备注：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2.成交供应商提供的以上业绩情况，如磋商文件《供应商须知前附表》有约定的，将按约定随评审结果公告。</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九、联合体协议</w:t>
      </w:r>
    </w:p>
    <w:p>
      <w:pPr>
        <w:pStyle w:val="21"/>
        <w:spacing w:line="360" w:lineRule="auto"/>
        <w:rPr>
          <w:rFonts w:ascii="宋体" w:hAnsi="宋体" w:eastAsia="宋体"/>
          <w:b w:val="0"/>
          <w:i/>
          <w:sz w:val="24"/>
        </w:rPr>
      </w:pPr>
      <w:r>
        <w:rPr>
          <w:rFonts w:hint="eastAsia" w:ascii="宋体" w:hAnsi="宋体" w:eastAsia="宋体"/>
          <w:b w:val="0"/>
          <w:i/>
          <w:sz w:val="24"/>
        </w:rPr>
        <w:t>（本项目不需此件）</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bookmarkStart w:id="155" w:name="_Toc461056644"/>
      <w:bookmarkStart w:id="156" w:name="_Toc520983599"/>
      <w:r>
        <w:rPr>
          <w:rFonts w:hint="eastAsia" w:asciiTheme="minorEastAsia" w:hAnsiTheme="minorEastAsia" w:eastAsiaTheme="minorEastAsia"/>
          <w:b/>
          <w:sz w:val="24"/>
        </w:rPr>
        <w:t>十</w:t>
      </w:r>
      <w:bookmarkEnd w:id="155"/>
      <w:r>
        <w:rPr>
          <w:rFonts w:hint="eastAsia" w:asciiTheme="minorEastAsia" w:hAnsiTheme="minorEastAsia" w:eastAsiaTheme="minorEastAsia"/>
          <w:b/>
          <w:sz w:val="24"/>
        </w:rPr>
        <w:t>、中小企业声明函</w:t>
      </w:r>
      <w:bookmarkEnd w:id="156"/>
    </w:p>
    <w:p>
      <w:pPr>
        <w:jc w:val="center"/>
        <w:rPr>
          <w:rFonts w:ascii="宋体" w:hAnsi="宋体" w:eastAsia="宋体"/>
          <w:b/>
          <w:sz w:val="24"/>
        </w:rPr>
      </w:pPr>
    </w:p>
    <w:p>
      <w:pPr>
        <w:spacing w:line="360" w:lineRule="auto"/>
        <w:jc w:val="center"/>
        <w:rPr>
          <w:rFonts w:asciiTheme="minorEastAsia" w:hAnsiTheme="minorEastAsia" w:eastAsiaTheme="minorEastAsia"/>
          <w:i/>
          <w:sz w:val="24"/>
          <w:szCs w:val="24"/>
          <w:lang w:val="zh-CN"/>
        </w:rPr>
      </w:pPr>
      <w:r>
        <w:rPr>
          <w:rFonts w:hint="eastAsia" w:asciiTheme="minorEastAsia" w:hAnsiTheme="minorEastAsia" w:eastAsiaTheme="minorEastAsia"/>
          <w:i/>
          <w:sz w:val="24"/>
          <w:szCs w:val="24"/>
          <w:lang w:val="zh-CN"/>
        </w:rPr>
        <w:t>（非中小企业磋商，不需此件）</w:t>
      </w:r>
    </w:p>
    <w:p>
      <w:pPr>
        <w:autoSpaceDE w:val="0"/>
        <w:autoSpaceDN w:val="0"/>
        <w:spacing w:line="480" w:lineRule="auto"/>
        <w:ind w:left="80" w:leftChars="38" w:right="40" w:firstLine="480" w:firstLineChars="200"/>
        <w:rPr>
          <w:rFonts w:ascii="宋体" w:hAnsi="宋体" w:eastAsia="宋体"/>
          <w:sz w:val="24"/>
          <w:lang w:val="zh-CN"/>
        </w:rPr>
      </w:pPr>
      <w:r>
        <w:rPr>
          <w:rFonts w:hint="eastAsia" w:ascii="宋体" w:hAnsi="宋体" w:eastAsia="宋体"/>
          <w:sz w:val="24"/>
          <w:lang w:val="zh-CN"/>
        </w:rPr>
        <w:t>本公司郑重声明，根据《政府采购促进中小企业发展暂行办法》（财库〔</w:t>
      </w:r>
      <w:r>
        <w:rPr>
          <w:rFonts w:ascii="宋体" w:hAnsi="宋体" w:eastAsia="宋体"/>
          <w:sz w:val="24"/>
          <w:lang w:val="zh-CN"/>
        </w:rPr>
        <w:t>2011</w:t>
      </w:r>
      <w:r>
        <w:rPr>
          <w:rFonts w:hint="eastAsia" w:ascii="宋体" w:hAnsi="宋体" w:eastAsia="宋体"/>
          <w:sz w:val="24"/>
          <w:lang w:val="zh-CN"/>
        </w:rPr>
        <w:t>〕</w:t>
      </w:r>
      <w:r>
        <w:rPr>
          <w:rFonts w:ascii="宋体" w:hAnsi="宋体" w:eastAsia="宋体"/>
          <w:sz w:val="24"/>
          <w:lang w:val="zh-CN"/>
        </w:rPr>
        <w:t>181</w:t>
      </w:r>
      <w:r>
        <w:rPr>
          <w:rFonts w:hint="eastAsia" w:ascii="宋体" w:hAnsi="宋体" w:eastAsia="宋体"/>
          <w:sz w:val="24"/>
          <w:lang w:val="zh-CN"/>
        </w:rPr>
        <w:t>号）的规定，本公司为</w:t>
      </w:r>
      <w:r>
        <w:rPr>
          <w:rFonts w:hint="eastAsia" w:ascii="宋体" w:hAnsi="宋体" w:eastAsia="宋体"/>
          <w:b/>
          <w:bCs/>
          <w:sz w:val="24"/>
          <w:u w:val="single"/>
        </w:rPr>
        <w:t xml:space="preserve">      </w:t>
      </w:r>
      <w:r>
        <w:rPr>
          <w:rFonts w:ascii="宋体" w:hAnsi="宋体" w:eastAsia="宋体"/>
          <w:b/>
          <w:bCs/>
          <w:sz w:val="24"/>
          <w:u w:val="single"/>
        </w:rPr>
        <w:t xml:space="preserve"> （</w:t>
      </w:r>
      <w:r>
        <w:rPr>
          <w:rFonts w:hint="eastAsia" w:ascii="宋体" w:hAnsi="宋体" w:eastAsia="宋体"/>
          <w:b/>
          <w:bCs/>
          <w:sz w:val="24"/>
          <w:u w:val="single"/>
        </w:rPr>
        <w:t>请填写：</w:t>
      </w:r>
      <w:r>
        <w:rPr>
          <w:rFonts w:ascii="宋体" w:hAnsi="宋体" w:eastAsia="宋体"/>
          <w:b/>
          <w:bCs/>
          <w:sz w:val="24"/>
          <w:u w:val="single"/>
        </w:rPr>
        <w:t>中型</w:t>
      </w:r>
      <w:r>
        <w:rPr>
          <w:rFonts w:hint="eastAsia" w:ascii="宋体" w:hAnsi="宋体" w:eastAsia="宋体"/>
          <w:b/>
          <w:bCs/>
          <w:sz w:val="24"/>
          <w:u w:val="single"/>
        </w:rPr>
        <w:t>/小型/微型</w:t>
      </w:r>
      <w:r>
        <w:rPr>
          <w:rFonts w:ascii="宋体" w:hAnsi="宋体" w:eastAsia="宋体"/>
          <w:b/>
          <w:bCs/>
          <w:sz w:val="24"/>
          <w:u w:val="single"/>
        </w:rPr>
        <w:t>）</w:t>
      </w:r>
      <w:r>
        <w:rPr>
          <w:rFonts w:hint="eastAsia" w:ascii="宋体" w:hAnsi="宋体" w:eastAsia="宋体"/>
          <w:sz w:val="24"/>
          <w:lang w:val="zh-CN"/>
        </w:rPr>
        <w:t>企业。即，本公司同时满足以下条件：</w:t>
      </w:r>
    </w:p>
    <w:p>
      <w:pPr>
        <w:autoSpaceDE w:val="0"/>
        <w:autoSpaceDN w:val="0"/>
        <w:spacing w:line="480" w:lineRule="auto"/>
        <w:ind w:left="80" w:leftChars="38" w:right="40" w:firstLine="480" w:firstLineChars="200"/>
        <w:rPr>
          <w:rFonts w:ascii="宋体" w:hAnsi="宋体" w:eastAsia="宋体"/>
          <w:sz w:val="24"/>
          <w:lang w:val="zh-CN"/>
        </w:rPr>
      </w:pPr>
      <w:r>
        <w:rPr>
          <w:rFonts w:ascii="宋体" w:hAnsi="宋体" w:eastAsia="宋体"/>
          <w:sz w:val="24"/>
          <w:lang w:val="zh-CN"/>
        </w:rPr>
        <w:t>1</w:t>
      </w:r>
      <w:r>
        <w:rPr>
          <w:rFonts w:hint="eastAsia" w:ascii="宋体" w:hAnsi="宋体" w:eastAsia="宋体"/>
          <w:sz w:val="24"/>
          <w:lang w:val="zh-CN"/>
        </w:rPr>
        <w:t>.根据《工业和信息化部、国家统计局、国家发展和改革委员会、财政部关于印发中小企业划型标准规定的通知》（工信部联企业〔</w:t>
      </w:r>
      <w:r>
        <w:rPr>
          <w:rFonts w:ascii="宋体" w:hAnsi="宋体" w:eastAsia="宋体"/>
          <w:sz w:val="24"/>
          <w:lang w:val="zh-CN"/>
        </w:rPr>
        <w:t>2011</w:t>
      </w:r>
      <w:r>
        <w:rPr>
          <w:rFonts w:hint="eastAsia" w:ascii="宋体" w:hAnsi="宋体" w:eastAsia="宋体"/>
          <w:sz w:val="24"/>
          <w:lang w:val="zh-CN"/>
        </w:rPr>
        <w:t>〕</w:t>
      </w:r>
      <w:r>
        <w:rPr>
          <w:rFonts w:ascii="宋体" w:hAnsi="宋体" w:eastAsia="宋体"/>
          <w:sz w:val="24"/>
          <w:lang w:val="zh-CN"/>
        </w:rPr>
        <w:t>300</w:t>
      </w:r>
      <w:r>
        <w:rPr>
          <w:rFonts w:hint="eastAsia" w:ascii="宋体" w:hAnsi="宋体" w:eastAsia="宋体"/>
          <w:sz w:val="24"/>
          <w:lang w:val="zh-CN"/>
        </w:rPr>
        <w:t>号）规定的划分标准，本公司为</w:t>
      </w:r>
      <w:r>
        <w:rPr>
          <w:rFonts w:hint="eastAsia" w:ascii="宋体" w:hAnsi="宋体" w:eastAsia="宋体"/>
          <w:b/>
          <w:bCs/>
          <w:sz w:val="24"/>
          <w:u w:val="single"/>
        </w:rPr>
        <w:t xml:space="preserve">      </w:t>
      </w:r>
      <w:r>
        <w:rPr>
          <w:rFonts w:ascii="宋体" w:hAnsi="宋体" w:eastAsia="宋体"/>
          <w:b/>
          <w:bCs/>
          <w:sz w:val="24"/>
          <w:u w:val="single"/>
        </w:rPr>
        <w:t>（</w:t>
      </w:r>
      <w:r>
        <w:rPr>
          <w:rFonts w:hint="eastAsia" w:ascii="宋体" w:hAnsi="宋体" w:eastAsia="宋体"/>
          <w:b/>
          <w:bCs/>
          <w:sz w:val="24"/>
          <w:u w:val="single"/>
        </w:rPr>
        <w:t>请填写：</w:t>
      </w:r>
      <w:r>
        <w:rPr>
          <w:rFonts w:ascii="宋体" w:hAnsi="宋体" w:eastAsia="宋体"/>
          <w:b/>
          <w:bCs/>
          <w:sz w:val="24"/>
          <w:u w:val="single"/>
        </w:rPr>
        <w:t>中型</w:t>
      </w:r>
      <w:r>
        <w:rPr>
          <w:rFonts w:hint="eastAsia" w:ascii="宋体" w:hAnsi="宋体" w:eastAsia="宋体"/>
          <w:b/>
          <w:bCs/>
          <w:sz w:val="24"/>
          <w:u w:val="single"/>
        </w:rPr>
        <w:t>/小型/微型</w:t>
      </w:r>
      <w:r>
        <w:rPr>
          <w:rFonts w:ascii="宋体" w:hAnsi="宋体" w:eastAsia="宋体"/>
          <w:b/>
          <w:bCs/>
          <w:sz w:val="24"/>
          <w:u w:val="single"/>
        </w:rPr>
        <w:t>）</w:t>
      </w:r>
      <w:r>
        <w:rPr>
          <w:rFonts w:hint="eastAsia" w:ascii="宋体" w:hAnsi="宋体" w:eastAsia="宋体"/>
          <w:sz w:val="24"/>
          <w:lang w:val="zh-CN"/>
        </w:rPr>
        <w:t>企业。</w:t>
      </w:r>
    </w:p>
    <w:p>
      <w:pPr>
        <w:autoSpaceDE w:val="0"/>
        <w:autoSpaceDN w:val="0"/>
        <w:spacing w:line="480" w:lineRule="auto"/>
        <w:ind w:left="80" w:leftChars="38" w:right="40" w:firstLine="480" w:firstLineChars="200"/>
        <w:rPr>
          <w:rFonts w:ascii="宋体" w:hAnsi="宋体" w:eastAsia="宋体"/>
          <w:sz w:val="24"/>
          <w:lang w:val="zh-CN"/>
        </w:rPr>
      </w:pPr>
      <w:r>
        <w:rPr>
          <w:rFonts w:ascii="宋体" w:hAnsi="宋体" w:eastAsia="宋体"/>
          <w:sz w:val="24"/>
          <w:lang w:val="zh-CN"/>
        </w:rPr>
        <w:t>2</w:t>
      </w:r>
      <w:r>
        <w:rPr>
          <w:rFonts w:hint="eastAsia" w:ascii="宋体" w:hAnsi="宋体" w:eastAsia="宋体"/>
          <w:sz w:val="24"/>
          <w:lang w:val="zh-CN"/>
        </w:rPr>
        <w:t>.本公司参加</w:t>
      </w:r>
      <w:r>
        <w:rPr>
          <w:rFonts w:hint="eastAsia" w:ascii="宋体" w:hAnsi="宋体" w:eastAsia="宋体"/>
          <w:sz w:val="24"/>
          <w:szCs w:val="28"/>
        </w:rPr>
        <w:t>本项目</w:t>
      </w:r>
      <w:r>
        <w:rPr>
          <w:rFonts w:hint="eastAsia" w:ascii="宋体" w:hAnsi="宋体" w:eastAsia="宋体"/>
          <w:bCs/>
          <w:sz w:val="24"/>
          <w:szCs w:val="28"/>
        </w:rPr>
        <w:t>采购活动</w:t>
      </w:r>
      <w:r>
        <w:rPr>
          <w:rFonts w:hint="eastAsia" w:ascii="宋体" w:hAnsi="宋体" w:eastAsia="宋体"/>
          <w:sz w:val="24"/>
          <w:lang w:val="zh-CN"/>
        </w:rPr>
        <w:t>由本企业提供服务。</w:t>
      </w:r>
    </w:p>
    <w:p>
      <w:pPr>
        <w:tabs>
          <w:tab w:val="left" w:pos="4620"/>
        </w:tabs>
        <w:spacing w:line="360" w:lineRule="auto"/>
        <w:ind w:firstLine="600" w:firstLineChars="250"/>
        <w:rPr>
          <w:rFonts w:ascii="宋体" w:hAnsi="宋体" w:eastAsia="宋体"/>
          <w:sz w:val="24"/>
          <w:lang w:val="zh-CN"/>
        </w:rPr>
      </w:pPr>
      <w:r>
        <w:rPr>
          <w:rFonts w:hint="eastAsia" w:ascii="宋体" w:hAnsi="宋体" w:eastAsia="宋体"/>
          <w:sz w:val="24"/>
          <w:lang w:val="zh-CN"/>
        </w:rPr>
        <w:t>本公司对上述声明的真实性负责。如有虚假，将依法承担相应责任。</w:t>
      </w:r>
    </w:p>
    <w:p>
      <w:pPr>
        <w:tabs>
          <w:tab w:val="left" w:pos="4620"/>
        </w:tabs>
        <w:spacing w:line="360" w:lineRule="auto"/>
        <w:ind w:firstLine="600" w:firstLineChars="250"/>
        <w:rPr>
          <w:rFonts w:ascii="宋体" w:hAnsi="宋体" w:eastAsia="宋体"/>
          <w:sz w:val="24"/>
          <w:lang w:val="zh-CN"/>
        </w:rPr>
      </w:pPr>
    </w:p>
    <w:p>
      <w:pPr>
        <w:tabs>
          <w:tab w:val="left" w:pos="4620"/>
        </w:tabs>
        <w:spacing w:line="360" w:lineRule="auto"/>
        <w:ind w:firstLine="600" w:firstLineChars="250"/>
        <w:rPr>
          <w:rFonts w:ascii="宋体" w:hAnsi="宋体" w:eastAsia="宋体"/>
          <w:sz w:val="24"/>
        </w:rPr>
      </w:pPr>
    </w:p>
    <w:p>
      <w:pPr>
        <w:spacing w:line="360" w:lineRule="auto"/>
        <w:ind w:firstLine="4228" w:firstLineChars="1762"/>
        <w:rPr>
          <w:rFonts w:ascii="宋体" w:hAnsi="宋体" w:eastAsia="宋体"/>
          <w:sz w:val="24"/>
          <w:u w:val="single"/>
        </w:rPr>
      </w:pPr>
      <w:r>
        <w:rPr>
          <w:rFonts w:hint="eastAsia" w:ascii="宋体" w:hAnsi="宋体" w:eastAsia="宋体"/>
          <w:sz w:val="24"/>
        </w:rPr>
        <w:t>供应商电子</w:t>
      </w:r>
      <w:r>
        <w:rPr>
          <w:rFonts w:ascii="宋体" w:hAnsi="宋体" w:eastAsia="宋体"/>
          <w:sz w:val="24"/>
        </w:rPr>
        <w:t>签章</w:t>
      </w:r>
      <w:r>
        <w:rPr>
          <w:rFonts w:hint="eastAsia" w:ascii="宋体" w:hAnsi="宋体" w:eastAsia="宋体"/>
          <w:sz w:val="24"/>
        </w:rPr>
        <w:t>：</w:t>
      </w:r>
      <w:r>
        <w:rPr>
          <w:rFonts w:ascii="宋体" w:hAnsi="宋体" w:eastAsia="宋体"/>
          <w:sz w:val="24"/>
          <w:u w:val="single"/>
        </w:rPr>
        <w:t xml:space="preserve">                  </w:t>
      </w:r>
    </w:p>
    <w:p>
      <w:pPr>
        <w:tabs>
          <w:tab w:val="left" w:pos="4620"/>
        </w:tabs>
        <w:spacing w:line="360" w:lineRule="auto"/>
        <w:ind w:firstLine="4252" w:firstLineChars="1772"/>
        <w:rPr>
          <w:rFonts w:ascii="宋体" w:hAnsi="宋体" w:eastAsia="宋体"/>
          <w:sz w:val="24"/>
          <w:u w:val="single"/>
        </w:rPr>
      </w:pPr>
      <w:r>
        <w:rPr>
          <w:rFonts w:hint="eastAsia" w:ascii="宋体" w:hAnsi="宋体" w:eastAsia="宋体"/>
          <w:sz w:val="24"/>
        </w:rPr>
        <w:t>日</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期：</w:t>
      </w:r>
      <w:r>
        <w:rPr>
          <w:rFonts w:ascii="宋体" w:hAnsi="宋体" w:eastAsia="宋体"/>
          <w:sz w:val="24"/>
          <w:u w:val="single"/>
        </w:rPr>
        <w:t xml:space="preserve">                   </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bookmarkStart w:id="157" w:name="_Toc520983600"/>
      <w:r>
        <w:rPr>
          <w:rFonts w:asciiTheme="minorEastAsia" w:hAnsiTheme="minorEastAsia" w:eastAsiaTheme="minorEastAsia"/>
          <w:b/>
          <w:sz w:val="24"/>
        </w:rPr>
        <w:t>十</w:t>
      </w:r>
      <w:r>
        <w:rPr>
          <w:rFonts w:hint="eastAsia" w:asciiTheme="minorEastAsia" w:hAnsiTheme="minorEastAsia" w:eastAsiaTheme="minorEastAsia"/>
          <w:b/>
          <w:sz w:val="24"/>
        </w:rPr>
        <w:t>一、残疾人福利性单位声明函</w:t>
      </w:r>
      <w:bookmarkEnd w:id="157"/>
    </w:p>
    <w:p>
      <w:pPr>
        <w:pStyle w:val="13"/>
        <w:spacing w:line="360" w:lineRule="auto"/>
        <w:ind w:firstLine="461"/>
        <w:jc w:val="center"/>
        <w:rPr>
          <w:rFonts w:asciiTheme="minorEastAsia" w:hAnsiTheme="minorEastAsia" w:eastAsiaTheme="minorEastAsia"/>
          <w:b w:val="0"/>
          <w:i/>
          <w:sz w:val="24"/>
          <w:szCs w:val="24"/>
        </w:rPr>
      </w:pPr>
      <w:r>
        <w:rPr>
          <w:rFonts w:hint="eastAsia" w:asciiTheme="minorEastAsia" w:hAnsiTheme="minorEastAsia" w:eastAsiaTheme="minorEastAsia"/>
          <w:b w:val="0"/>
          <w:i/>
          <w:sz w:val="24"/>
          <w:szCs w:val="24"/>
        </w:rPr>
        <w:t>（非残疾人福利性单位磋商，不需此件）</w:t>
      </w:r>
    </w:p>
    <w:p/>
    <w:p>
      <w:pPr>
        <w:spacing w:line="360" w:lineRule="auto"/>
        <w:ind w:firstLine="630" w:firstLineChars="250"/>
        <w:rPr>
          <w:rFonts w:ascii="宋体" w:hAnsi="宋体" w:eastAsia="宋体"/>
          <w:spacing w:val="6"/>
          <w:sz w:val="24"/>
        </w:rPr>
      </w:pPr>
      <w:r>
        <w:rPr>
          <w:rFonts w:hint="eastAsia" w:ascii="宋体" w:hAnsi="宋体" w:eastAsia="宋体"/>
          <w:spacing w:val="6"/>
          <w:sz w:val="24"/>
        </w:rPr>
        <w:t>本单位郑重声明，根据《财政部 民政部 中国残疾人联合会关于促进残疾人就业政府采购政策的通知》（财库</w:t>
      </w:r>
      <w:r>
        <w:rPr>
          <w:rFonts w:hint="eastAsia" w:ascii="宋体" w:hAnsi="宋体" w:eastAsia="宋体"/>
          <w:sz w:val="24"/>
        </w:rPr>
        <w:t>〔2017〕 141</w:t>
      </w:r>
      <w:r>
        <w:rPr>
          <w:rFonts w:hint="eastAsia" w:ascii="宋体" w:hAnsi="宋体" w:eastAsia="宋体"/>
          <w:spacing w:val="6"/>
          <w:sz w:val="24"/>
        </w:rPr>
        <w:t>号）的规定，本单位为</w:t>
      </w:r>
      <w:r>
        <w:rPr>
          <w:rFonts w:hint="eastAsia" w:ascii="宋体" w:hAnsi="宋体" w:eastAsia="宋体"/>
          <w:b/>
          <w:bCs/>
          <w:sz w:val="24"/>
          <w:u w:val="single"/>
        </w:rPr>
        <w:t>□</w:t>
      </w:r>
      <w:r>
        <w:rPr>
          <w:rFonts w:hint="eastAsia" w:ascii="宋体" w:hAnsi="宋体" w:eastAsia="宋体"/>
          <w:b/>
          <w:spacing w:val="6"/>
          <w:sz w:val="24"/>
          <w:u w:val="single"/>
        </w:rPr>
        <w:t>符合</w:t>
      </w:r>
      <w:r>
        <w:rPr>
          <w:rFonts w:hint="eastAsia" w:ascii="宋体" w:hAnsi="宋体" w:eastAsia="宋体"/>
          <w:b/>
          <w:bCs/>
          <w:sz w:val="24"/>
          <w:u w:val="single"/>
        </w:rPr>
        <w:t>□不符合</w:t>
      </w:r>
      <w:r>
        <w:rPr>
          <w:rFonts w:ascii="宋体" w:hAnsi="宋体" w:eastAsia="宋体"/>
          <w:b/>
          <w:bCs/>
          <w:sz w:val="24"/>
          <w:u w:val="single"/>
        </w:rPr>
        <w:t>（</w:t>
      </w:r>
      <w:r>
        <w:rPr>
          <w:rFonts w:hint="eastAsia" w:ascii="宋体" w:hAnsi="宋体" w:eastAsia="宋体"/>
          <w:b/>
          <w:bCs/>
          <w:sz w:val="24"/>
          <w:u w:val="single"/>
        </w:rPr>
        <w:t>对应勾选</w:t>
      </w:r>
      <w:r>
        <w:rPr>
          <w:rFonts w:ascii="宋体" w:hAnsi="宋体" w:eastAsia="宋体"/>
          <w:b/>
          <w:bCs/>
          <w:sz w:val="24"/>
          <w:u w:val="single"/>
        </w:rPr>
        <w:t>）</w:t>
      </w:r>
      <w:r>
        <w:rPr>
          <w:rFonts w:hint="eastAsia" w:ascii="宋体" w:hAnsi="宋体" w:eastAsia="宋体"/>
          <w:spacing w:val="6"/>
          <w:sz w:val="24"/>
        </w:rPr>
        <w:t>条件的残疾人福利性单位，且本单位参加</w:t>
      </w:r>
      <w:r>
        <w:rPr>
          <w:rFonts w:hint="eastAsia" w:ascii="宋体" w:hAnsi="宋体" w:eastAsia="宋体"/>
          <w:sz w:val="24"/>
          <w:szCs w:val="28"/>
        </w:rPr>
        <w:t>本项目</w:t>
      </w:r>
      <w:r>
        <w:rPr>
          <w:rFonts w:hint="eastAsia" w:ascii="宋体" w:hAnsi="宋体" w:eastAsia="宋体"/>
          <w:spacing w:val="6"/>
          <w:sz w:val="24"/>
        </w:rPr>
        <w:t>采购活动由本单位提供服务。</w:t>
      </w:r>
    </w:p>
    <w:p>
      <w:pPr>
        <w:spacing w:line="588" w:lineRule="exact"/>
        <w:ind w:firstLine="504" w:firstLineChars="200"/>
        <w:rPr>
          <w:rFonts w:ascii="宋体" w:hAnsi="宋体" w:eastAsia="宋体"/>
          <w:spacing w:val="6"/>
          <w:sz w:val="24"/>
        </w:rPr>
      </w:pPr>
      <w:r>
        <w:rPr>
          <w:rFonts w:hint="eastAsia" w:ascii="宋体" w:hAnsi="宋体" w:eastAsia="宋体"/>
          <w:spacing w:val="6"/>
          <w:sz w:val="24"/>
        </w:rPr>
        <w:t>本单位对上述声明的真实性负责。如有虚假，将依法承担相应责任。</w:t>
      </w:r>
    </w:p>
    <w:p>
      <w:pPr>
        <w:spacing w:line="588" w:lineRule="exact"/>
        <w:ind w:firstLine="504" w:firstLineChars="200"/>
        <w:rPr>
          <w:rFonts w:ascii="宋体" w:hAnsi="宋体" w:eastAsia="宋体"/>
          <w:spacing w:val="6"/>
          <w:sz w:val="24"/>
        </w:rPr>
      </w:pPr>
    </w:p>
    <w:p>
      <w:pPr>
        <w:spacing w:line="360" w:lineRule="auto"/>
        <w:ind w:firstLine="4228" w:firstLineChars="1762"/>
        <w:rPr>
          <w:rFonts w:ascii="宋体" w:hAnsi="宋体" w:eastAsia="宋体"/>
          <w:sz w:val="24"/>
          <w:u w:val="single"/>
        </w:rPr>
      </w:pPr>
      <w:r>
        <w:rPr>
          <w:rFonts w:hint="eastAsia" w:ascii="宋体" w:hAnsi="宋体" w:eastAsia="宋体"/>
          <w:sz w:val="24"/>
        </w:rPr>
        <w:t>供应商电子签章：</w:t>
      </w:r>
      <w:r>
        <w:rPr>
          <w:rFonts w:ascii="宋体" w:hAnsi="宋体" w:eastAsia="宋体"/>
          <w:sz w:val="24"/>
          <w:u w:val="single"/>
        </w:rPr>
        <w:t xml:space="preserve">                </w:t>
      </w:r>
    </w:p>
    <w:p>
      <w:pPr>
        <w:ind w:firstLine="4200" w:firstLineChars="1750"/>
        <w:rPr>
          <w:rFonts w:ascii="宋体" w:hAnsi="宋体" w:eastAsia="宋体"/>
          <w:sz w:val="24"/>
          <w:u w:val="single"/>
        </w:rPr>
      </w:pPr>
      <w:r>
        <w:rPr>
          <w:rFonts w:hint="eastAsia" w:ascii="宋体" w:hAnsi="宋体" w:eastAsia="宋体"/>
          <w:sz w:val="24"/>
        </w:rPr>
        <w:t>日</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期：</w:t>
      </w:r>
      <w:r>
        <w:rPr>
          <w:rFonts w:ascii="宋体" w:hAnsi="宋体" w:eastAsia="宋体"/>
          <w:sz w:val="24"/>
          <w:u w:val="single"/>
        </w:rPr>
        <w:t xml:space="preserve">                </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十二、其他相关证明材料</w:t>
      </w:r>
    </w:p>
    <w:p>
      <w:pPr>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提供符合磋商邀请（磋商公告）、采购需求及评审方法和标准规定的相关证明文件。</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包括但不限于：</w:t>
      </w:r>
    </w:p>
    <w:p>
      <w:pPr>
        <w:pStyle w:val="60"/>
        <w:numPr>
          <w:ilvl w:val="0"/>
          <w:numId w:val="3"/>
        </w:numPr>
        <w:spacing w:line="360" w:lineRule="auto"/>
        <w:ind w:firstLineChars="0"/>
        <w:rPr>
          <w:rFonts w:ascii="宋体" w:hAnsi="宋体" w:eastAsia="宋体" w:cs="宋体"/>
          <w:sz w:val="24"/>
          <w:szCs w:val="24"/>
        </w:rPr>
      </w:pPr>
      <w:r>
        <w:rPr>
          <w:rFonts w:hint="eastAsia" w:ascii="宋体" w:hAnsi="宋体" w:eastAsia="宋体" w:cs="宋体"/>
          <w:sz w:val="24"/>
          <w:szCs w:val="24"/>
        </w:rPr>
        <w:t>课程教学服务方案；</w:t>
      </w:r>
    </w:p>
    <w:p>
      <w:pPr>
        <w:pStyle w:val="60"/>
        <w:numPr>
          <w:ilvl w:val="0"/>
          <w:numId w:val="3"/>
        </w:numPr>
        <w:spacing w:line="360" w:lineRule="auto"/>
        <w:ind w:firstLineChars="0"/>
        <w:rPr>
          <w:rFonts w:ascii="宋体" w:hAnsi="宋体" w:eastAsia="宋体" w:cs="宋体"/>
          <w:sz w:val="24"/>
          <w:szCs w:val="24"/>
        </w:rPr>
      </w:pPr>
      <w:r>
        <w:rPr>
          <w:rFonts w:hint="eastAsia" w:ascii="宋体" w:hAnsi="宋体" w:eastAsia="宋体"/>
          <w:bCs/>
          <w:kern w:val="0"/>
          <w:sz w:val="24"/>
          <w:szCs w:val="24"/>
        </w:rPr>
        <w:t>教学队伍建设与培训服务方案</w:t>
      </w:r>
      <w:r>
        <w:rPr>
          <w:rFonts w:hint="eastAsia" w:ascii="宋体" w:hAnsi="宋体" w:eastAsia="宋体" w:cs="宋体"/>
          <w:sz w:val="24"/>
          <w:szCs w:val="24"/>
        </w:rPr>
        <w:t>；</w:t>
      </w:r>
    </w:p>
    <w:p>
      <w:pPr>
        <w:pStyle w:val="60"/>
        <w:numPr>
          <w:ilvl w:val="0"/>
          <w:numId w:val="3"/>
        </w:numPr>
        <w:spacing w:line="360" w:lineRule="auto"/>
        <w:ind w:firstLineChars="0"/>
        <w:rPr>
          <w:rFonts w:ascii="宋体" w:hAnsi="宋体" w:eastAsia="宋体" w:cs="宋体"/>
          <w:sz w:val="24"/>
          <w:szCs w:val="24"/>
        </w:rPr>
      </w:pPr>
      <w:r>
        <w:rPr>
          <w:rFonts w:hint="eastAsia" w:ascii="宋体" w:hAnsi="宋体" w:eastAsia="宋体" w:cs="宋体"/>
          <w:bCs/>
          <w:kern w:val="0"/>
          <w:sz w:val="24"/>
          <w:szCs w:val="24"/>
        </w:rPr>
        <w:t>学工管理服务方案</w:t>
      </w:r>
      <w:r>
        <w:rPr>
          <w:rFonts w:hint="eastAsia" w:ascii="宋体" w:hAnsi="宋体" w:eastAsia="宋体" w:cs="宋体"/>
          <w:sz w:val="24"/>
          <w:szCs w:val="24"/>
        </w:rPr>
        <w:t>；</w:t>
      </w:r>
    </w:p>
    <w:p>
      <w:pPr>
        <w:pStyle w:val="60"/>
        <w:numPr>
          <w:ilvl w:val="0"/>
          <w:numId w:val="3"/>
        </w:numPr>
        <w:spacing w:line="360" w:lineRule="auto"/>
        <w:ind w:firstLineChars="0"/>
        <w:rPr>
          <w:rFonts w:ascii="宋体" w:hAnsi="宋体" w:eastAsia="宋体" w:cs="宋体"/>
          <w:sz w:val="24"/>
          <w:szCs w:val="24"/>
        </w:rPr>
      </w:pPr>
      <w:r>
        <w:rPr>
          <w:rFonts w:hint="eastAsia" w:ascii="宋体" w:hAnsi="宋体" w:eastAsia="宋体"/>
          <w:bCs/>
          <w:kern w:val="0"/>
          <w:sz w:val="24"/>
          <w:szCs w:val="24"/>
        </w:rPr>
        <w:t>就业安置服务</w:t>
      </w:r>
      <w:r>
        <w:rPr>
          <w:rFonts w:hint="eastAsia" w:ascii="宋体" w:hAnsi="宋体" w:eastAsia="宋体" w:cs="宋体"/>
          <w:bCs/>
          <w:kern w:val="0"/>
          <w:sz w:val="24"/>
          <w:szCs w:val="24"/>
        </w:rPr>
        <w:t>方案。</w:t>
      </w:r>
    </w:p>
    <w:p>
      <w:pPr>
        <w:pStyle w:val="2"/>
        <w:rPr>
          <w:lang w:val="en-US"/>
        </w:rPr>
      </w:pPr>
    </w:p>
    <w:p>
      <w:pPr>
        <w:spacing w:line="360" w:lineRule="auto"/>
        <w:jc w:val="center"/>
        <w:outlineLvl w:val="1"/>
        <w:rPr>
          <w:rFonts w:asciiTheme="minorEastAsia" w:hAnsiTheme="minorEastAsia" w:eastAsiaTheme="minorEastAsia"/>
          <w:b/>
          <w:sz w:val="52"/>
        </w:rPr>
      </w:pPr>
      <w:r>
        <w:rPr>
          <w:rFonts w:hint="eastAsia" w:ascii="宋体" w:hAnsi="宋体" w:eastAsia="宋体" w:cs="宋体"/>
          <w:sz w:val="24"/>
          <w:szCs w:val="24"/>
        </w:rPr>
        <w:br w:type="page"/>
      </w:r>
      <w:bookmarkStart w:id="158" w:name="_Toc26639567"/>
      <w:bookmarkStart w:id="159" w:name="_Toc8172"/>
      <w:r>
        <w:rPr>
          <w:rFonts w:hint="eastAsia" w:asciiTheme="minorEastAsia" w:hAnsiTheme="minorEastAsia" w:eastAsiaTheme="minorEastAsia"/>
          <w:b/>
          <w:sz w:val="28"/>
        </w:rPr>
        <w:t xml:space="preserve">第七章  </w:t>
      </w:r>
      <w:bookmarkEnd w:id="158"/>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商质疑函范本</w:t>
      </w:r>
      <w:bookmarkEnd w:id="159"/>
    </w:p>
    <w:p>
      <w:pPr>
        <w:jc w:val="center"/>
        <w:rPr>
          <w:rFonts w:ascii="仿宋" w:hAnsi="仿宋" w:eastAsia="仿宋" w:cs="仿宋"/>
          <w:b/>
          <w:bCs/>
          <w:sz w:val="32"/>
          <w:szCs w:val="44"/>
        </w:rPr>
      </w:pPr>
      <w:r>
        <w:rPr>
          <w:rFonts w:hint="eastAsia" w:ascii="仿宋" w:hAnsi="仿宋" w:eastAsia="仿宋" w:cs="仿宋"/>
          <w:b/>
          <w:bCs/>
          <w:sz w:val="32"/>
          <w:szCs w:val="44"/>
        </w:rPr>
        <w:t>质疑函范本</w:t>
      </w:r>
    </w:p>
    <w:p>
      <w:pPr>
        <w:adjustRightInd w:val="0"/>
        <w:snapToGrid w:val="0"/>
        <w:spacing w:before="312" w:beforeLines="100"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一、质疑供应商基本信息</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二、质疑项目基本情况</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三、质疑事项具体内容</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四、与质疑事项相关的质疑请求</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仿宋" w:hAnsi="仿宋" w:eastAsia="仿宋" w:cs="仿宋"/>
          <w:sz w:val="32"/>
          <w:szCs w:val="32"/>
        </w:rPr>
      </w:pPr>
      <w:r>
        <w:rPr>
          <w:rFonts w:hint="eastAsia" w:asciiTheme="minorEastAsia" w:hAnsiTheme="minorEastAsia" w:eastAsiaTheme="minorEastAsia"/>
          <w:sz w:val="24"/>
          <w:szCs w:val="24"/>
        </w:rPr>
        <w:t xml:space="preserve">日期：    </w:t>
      </w:r>
      <w:r>
        <w:rPr>
          <w:rFonts w:ascii="仿宋" w:hAnsi="仿宋" w:eastAsia="仿宋" w:cs="仿宋"/>
          <w:sz w:val="32"/>
          <w:szCs w:val="32"/>
        </w:rPr>
        <w:br w:type="page"/>
      </w:r>
    </w:p>
    <w:p>
      <w:pPr>
        <w:rPr>
          <w:rFonts w:asciiTheme="minorEastAsia" w:hAnsiTheme="minorEastAsia" w:eastAsiaTheme="minorEastAsia"/>
          <w:b/>
          <w:sz w:val="28"/>
          <w:szCs w:val="32"/>
        </w:rPr>
      </w:pPr>
      <w:r>
        <w:rPr>
          <w:rFonts w:hint="eastAsia" w:asciiTheme="minorEastAsia" w:hAnsiTheme="minorEastAsia" w:eastAsiaTheme="minorEastAsia"/>
          <w:b/>
          <w:sz w:val="28"/>
          <w:szCs w:val="32"/>
        </w:rPr>
        <w:t>质疑函制作说明：</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简标宋">
    <w:altName w:val="@微软雅黑"/>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asciiTheme="majorEastAsia" w:hAnsiTheme="majorEastAsia" w:eastAsiaTheme="majorEastAsia"/>
        <w:sz w:val="21"/>
        <w:szCs w:val="21"/>
      </w:rPr>
      <w:t>第</w:t>
    </w:r>
    <w:sdt>
      <w:sdtPr>
        <w:rPr>
          <w:rFonts w:asciiTheme="majorEastAsia" w:hAnsiTheme="majorEastAsia" w:eastAsiaTheme="majorEastAsia"/>
          <w:sz w:val="21"/>
          <w:szCs w:val="21"/>
        </w:rPr>
        <w:id w:val="1132517573"/>
      </w:sdtPr>
      <w:sdtEndPr>
        <w:rPr>
          <w:rFonts w:asciiTheme="minorHAnsi" w:hAnsiTheme="minorHAnsi" w:eastAsiaTheme="minorEastAsia"/>
          <w:sz w:val="18"/>
          <w:szCs w:val="18"/>
        </w:rPr>
      </w:sdtEndPr>
      <w:sdtContent>
        <w:sdt>
          <w:sdtPr>
            <w:rPr>
              <w:rFonts w:asciiTheme="majorEastAsia" w:hAnsiTheme="majorEastAsia" w:eastAsiaTheme="majorEastAsia"/>
              <w:sz w:val="21"/>
              <w:szCs w:val="21"/>
            </w:rPr>
            <w:id w:val="1780598672"/>
          </w:sdtPr>
          <w:sdtEndPr>
            <w:rPr>
              <w:rFonts w:asciiTheme="minorHAnsi" w:hAnsiTheme="minorHAnsi" w:eastAsiaTheme="minorEastAsia"/>
              <w:sz w:val="18"/>
              <w:szCs w:val="18"/>
            </w:rPr>
          </w:sdtEndPr>
          <w:sdtContent>
            <w:r>
              <w:rPr>
                <w:rFonts w:asciiTheme="majorEastAsia" w:hAnsiTheme="majorEastAsia" w:eastAsiaTheme="majorEastAsia"/>
                <w:sz w:val="21"/>
                <w:szCs w:val="21"/>
                <w:lang w:val="zh-CN"/>
              </w:rPr>
              <w:t xml:space="preserve"> </w:t>
            </w:r>
            <w:r>
              <w:rPr>
                <w:rFonts w:asciiTheme="majorEastAsia" w:hAnsiTheme="majorEastAsia" w:eastAsiaTheme="majorEastAsia"/>
                <w:b/>
                <w:bCs/>
                <w:sz w:val="21"/>
                <w:szCs w:val="21"/>
              </w:rPr>
              <w:fldChar w:fldCharType="begin"/>
            </w:r>
            <w:r>
              <w:rPr>
                <w:rFonts w:asciiTheme="majorEastAsia" w:hAnsiTheme="majorEastAsia" w:eastAsiaTheme="majorEastAsia"/>
                <w:b/>
                <w:bCs/>
                <w:sz w:val="21"/>
                <w:szCs w:val="21"/>
              </w:rPr>
              <w:instrText xml:space="preserve">PAGE</w:instrText>
            </w:r>
            <w:r>
              <w:rPr>
                <w:rFonts w:asciiTheme="majorEastAsia" w:hAnsiTheme="majorEastAsia" w:eastAsiaTheme="majorEastAsia"/>
                <w:b/>
                <w:bCs/>
                <w:sz w:val="21"/>
                <w:szCs w:val="21"/>
              </w:rPr>
              <w:fldChar w:fldCharType="separate"/>
            </w:r>
            <w:r>
              <w:rPr>
                <w:rFonts w:asciiTheme="majorEastAsia" w:hAnsiTheme="majorEastAsia" w:eastAsiaTheme="majorEastAsia"/>
                <w:b/>
                <w:bCs/>
                <w:sz w:val="21"/>
                <w:szCs w:val="21"/>
              </w:rPr>
              <w:t>38</w:t>
            </w:r>
            <w:r>
              <w:rPr>
                <w:rFonts w:asciiTheme="majorEastAsia" w:hAnsiTheme="majorEastAsia" w:eastAsiaTheme="majorEastAsia"/>
                <w:b/>
                <w:bCs/>
                <w:sz w:val="21"/>
                <w:szCs w:val="21"/>
              </w:rPr>
              <w:fldChar w:fldCharType="end"/>
            </w:r>
            <w:r>
              <w:rPr>
                <w:rFonts w:asciiTheme="majorEastAsia" w:hAnsiTheme="majorEastAsia" w:eastAsiaTheme="majorEastAsia"/>
                <w:sz w:val="21"/>
                <w:szCs w:val="21"/>
                <w:lang w:val="zh-CN"/>
              </w:rPr>
              <w:t xml:space="preserve"> 页/</w:t>
            </w:r>
            <w:r>
              <w:rPr>
                <w:rFonts w:asciiTheme="majorEastAsia" w:hAnsiTheme="majorEastAsia" w:eastAsiaTheme="majorEastAsia"/>
                <w:sz w:val="21"/>
                <w:szCs w:val="21"/>
              </w:rPr>
              <w:t xml:space="preserve">共 </w:t>
            </w:r>
            <w:r>
              <w:rPr>
                <w:rFonts w:asciiTheme="majorEastAsia" w:hAnsiTheme="majorEastAsia" w:eastAsiaTheme="majorEastAsia"/>
                <w:b/>
                <w:sz w:val="21"/>
                <w:szCs w:val="21"/>
              </w:rPr>
              <w:fldChar w:fldCharType="begin"/>
            </w:r>
            <w:r>
              <w:rPr>
                <w:rFonts w:asciiTheme="majorEastAsia" w:hAnsiTheme="majorEastAsia" w:eastAsiaTheme="majorEastAsia"/>
                <w:b/>
                <w:sz w:val="21"/>
                <w:szCs w:val="21"/>
              </w:rPr>
              <w:instrText xml:space="preserve">NUMPAGES</w:instrText>
            </w:r>
            <w:r>
              <w:rPr>
                <w:rFonts w:asciiTheme="majorEastAsia" w:hAnsiTheme="majorEastAsia" w:eastAsiaTheme="majorEastAsia"/>
                <w:b/>
                <w:sz w:val="21"/>
                <w:szCs w:val="21"/>
              </w:rPr>
              <w:fldChar w:fldCharType="separate"/>
            </w:r>
            <w:r>
              <w:rPr>
                <w:rFonts w:asciiTheme="majorEastAsia" w:hAnsiTheme="majorEastAsia" w:eastAsiaTheme="majorEastAsia"/>
                <w:b/>
                <w:sz w:val="21"/>
                <w:szCs w:val="21"/>
              </w:rPr>
              <w:t>63</w:t>
            </w:r>
            <w:r>
              <w:rPr>
                <w:rFonts w:asciiTheme="majorEastAsia" w:hAnsiTheme="majorEastAsia" w:eastAsiaTheme="majorEastAsia"/>
                <w:b/>
                <w:sz w:val="21"/>
                <w:szCs w:val="21"/>
              </w:rPr>
              <w:fldChar w:fldCharType="end"/>
            </w:r>
            <w:r>
              <w:rPr>
                <w:rFonts w:hint="eastAsia" w:asciiTheme="majorEastAsia" w:hAnsiTheme="majorEastAsia" w:eastAsiaTheme="majorEastAsia"/>
                <w:sz w:val="21"/>
                <w:szCs w:val="21"/>
              </w:rPr>
              <w:t>页</w:t>
            </w:r>
          </w:sdtContent>
        </w:sdt>
      </w:sdtContent>
    </w:sdt>
  </w:p>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pPr>
              <w:pStyle w:val="15"/>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Cs/>
                <w:sz w:val="21"/>
                <w:szCs w:val="21"/>
              </w:rPr>
              <w:fldChar w:fldCharType="begin"/>
            </w:r>
            <w:r>
              <w:rPr>
                <w:rFonts w:asciiTheme="minorEastAsia" w:hAnsiTheme="minorEastAsia"/>
                <w:bCs/>
                <w:sz w:val="21"/>
                <w:szCs w:val="21"/>
              </w:rPr>
              <w:instrText xml:space="preserve">PAGE</w:instrText>
            </w:r>
            <w:r>
              <w:rPr>
                <w:rFonts w:asciiTheme="minorEastAsia" w:hAnsiTheme="minorEastAsia"/>
                <w:bCs/>
                <w:sz w:val="21"/>
                <w:szCs w:val="21"/>
              </w:rPr>
              <w:fldChar w:fldCharType="separate"/>
            </w:r>
            <w:r>
              <w:rPr>
                <w:rFonts w:asciiTheme="minorEastAsia" w:hAnsiTheme="minorEastAsia"/>
                <w:bCs/>
                <w:sz w:val="21"/>
                <w:szCs w:val="21"/>
              </w:rPr>
              <w:t>63</w:t>
            </w:r>
            <w:r>
              <w:rPr>
                <w:rFonts w:asciiTheme="minorEastAsia" w:hAnsiTheme="minorEastAsia"/>
                <w:bCs/>
                <w:sz w:val="21"/>
                <w:szCs w:val="21"/>
              </w:rPr>
              <w:fldChar w:fldCharType="end"/>
            </w:r>
            <w:r>
              <w:rPr>
                <w:rFonts w:hint="eastAsia" w:asciiTheme="minorEastAsia" w:hAnsiTheme="minorEastAsia"/>
                <w:bCs/>
                <w:sz w:val="21"/>
                <w:szCs w:val="21"/>
              </w:rPr>
              <w:t xml:space="preserve"> 页  共 </w:t>
            </w:r>
            <w:r>
              <w:rPr>
                <w:rFonts w:asciiTheme="minorEastAsia" w:hAnsiTheme="minorEastAsia"/>
                <w:bCs/>
                <w:sz w:val="21"/>
                <w:szCs w:val="21"/>
              </w:rPr>
              <w:fldChar w:fldCharType="begin"/>
            </w:r>
            <w:r>
              <w:rPr>
                <w:rFonts w:asciiTheme="minorEastAsia" w:hAnsiTheme="minorEastAsia"/>
                <w:bCs/>
                <w:sz w:val="21"/>
                <w:szCs w:val="21"/>
              </w:rPr>
              <w:instrText xml:space="preserve">NUMPAGES</w:instrText>
            </w:r>
            <w:r>
              <w:rPr>
                <w:rFonts w:asciiTheme="minorEastAsia" w:hAnsiTheme="minorEastAsia"/>
                <w:bCs/>
                <w:sz w:val="21"/>
                <w:szCs w:val="21"/>
              </w:rPr>
              <w:fldChar w:fldCharType="separate"/>
            </w:r>
            <w:r>
              <w:rPr>
                <w:rFonts w:asciiTheme="minorEastAsia" w:hAnsiTheme="minorEastAsia"/>
                <w:bCs/>
                <w:sz w:val="21"/>
                <w:szCs w:val="21"/>
              </w:rPr>
              <w:t>63</w:t>
            </w:r>
            <w:r>
              <w:rPr>
                <w:rFonts w:asciiTheme="minorEastAsia" w:hAnsiTheme="minorEastAsia"/>
                <w:bCs/>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ajorEastAsia" w:hAnsiTheme="majorEastAsia" w:eastAsiaTheme="majorEastAsia" w:cstheme="majorEastAsia"/>
      </w:rPr>
    </w:pPr>
    <w:r>
      <w:rPr>
        <w:rFonts w:hint="eastAsia" w:asciiTheme="majorEastAsia" w:hAnsiTheme="majorEastAsia" w:eastAsiaTheme="majorEastAsia" w:cstheme="majorEastAsia"/>
      </w:rPr>
      <w:t>安徽交通职业技术学院校企合作特色专业购买服务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A2BF5"/>
    <w:multiLevelType w:val="singleLevel"/>
    <w:tmpl w:val="D77A2BF5"/>
    <w:lvl w:ilvl="0" w:tentative="0">
      <w:start w:val="5"/>
      <w:numFmt w:val="chineseCounting"/>
      <w:suff w:val="space"/>
      <w:lvlText w:val="第%1章"/>
      <w:lvlJc w:val="left"/>
      <w:rPr>
        <w:rFonts w:hint="eastAsia"/>
      </w:rPr>
    </w:lvl>
  </w:abstractNum>
  <w:abstractNum w:abstractNumId="1">
    <w:nsid w:val="27A765DD"/>
    <w:multiLevelType w:val="singleLevel"/>
    <w:tmpl w:val="27A765DD"/>
    <w:lvl w:ilvl="0" w:tentative="0">
      <w:start w:val="1"/>
      <w:numFmt w:val="decimal"/>
      <w:suff w:val="nothing"/>
      <w:lvlText w:val="%1、"/>
      <w:lvlJc w:val="left"/>
      <w:rPr>
        <w:rFonts w:ascii="宋体" w:hAnsi="宋体" w:eastAsia="宋体" w:cs="宋体"/>
      </w:rPr>
    </w:lvl>
  </w:abstractNum>
  <w:abstractNum w:abstractNumId="2">
    <w:nsid w:val="6E235FEA"/>
    <w:multiLevelType w:val="singleLevel"/>
    <w:tmpl w:val="6E235FE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22"/>
    <w:rsid w:val="000B36C9"/>
    <w:rsid w:val="0010213F"/>
    <w:rsid w:val="001037FA"/>
    <w:rsid w:val="00104D45"/>
    <w:rsid w:val="00145C47"/>
    <w:rsid w:val="0016164B"/>
    <w:rsid w:val="00173390"/>
    <w:rsid w:val="00187C12"/>
    <w:rsid w:val="00196AF7"/>
    <w:rsid w:val="002D4B1D"/>
    <w:rsid w:val="003D1207"/>
    <w:rsid w:val="00404E43"/>
    <w:rsid w:val="0044102B"/>
    <w:rsid w:val="00486792"/>
    <w:rsid w:val="004D46CC"/>
    <w:rsid w:val="004F6EB9"/>
    <w:rsid w:val="0055486D"/>
    <w:rsid w:val="005801DB"/>
    <w:rsid w:val="00587FD4"/>
    <w:rsid w:val="005A2E22"/>
    <w:rsid w:val="006E10D9"/>
    <w:rsid w:val="006E22E8"/>
    <w:rsid w:val="007075F2"/>
    <w:rsid w:val="00707DAE"/>
    <w:rsid w:val="00721864"/>
    <w:rsid w:val="007B5281"/>
    <w:rsid w:val="007B635A"/>
    <w:rsid w:val="00896163"/>
    <w:rsid w:val="00901421"/>
    <w:rsid w:val="00901D99"/>
    <w:rsid w:val="009F4C11"/>
    <w:rsid w:val="00A55E99"/>
    <w:rsid w:val="00A9496E"/>
    <w:rsid w:val="00AA01D9"/>
    <w:rsid w:val="00AB27F2"/>
    <w:rsid w:val="00AE7A94"/>
    <w:rsid w:val="00B31388"/>
    <w:rsid w:val="00BC7D24"/>
    <w:rsid w:val="00BF3B18"/>
    <w:rsid w:val="00BF6805"/>
    <w:rsid w:val="00C77B97"/>
    <w:rsid w:val="00C95518"/>
    <w:rsid w:val="00CC32D7"/>
    <w:rsid w:val="00D70B2C"/>
    <w:rsid w:val="00D908CD"/>
    <w:rsid w:val="00DB46DB"/>
    <w:rsid w:val="00E047B6"/>
    <w:rsid w:val="00E5150D"/>
    <w:rsid w:val="00EC0797"/>
    <w:rsid w:val="00ED1985"/>
    <w:rsid w:val="00EE5DC2"/>
    <w:rsid w:val="00F34CCF"/>
    <w:rsid w:val="00F53F17"/>
    <w:rsid w:val="00FC0867"/>
    <w:rsid w:val="0107599D"/>
    <w:rsid w:val="01290B7B"/>
    <w:rsid w:val="01591ED2"/>
    <w:rsid w:val="015B36E4"/>
    <w:rsid w:val="015B4E37"/>
    <w:rsid w:val="01634F89"/>
    <w:rsid w:val="019F11B3"/>
    <w:rsid w:val="02401A96"/>
    <w:rsid w:val="02546BF7"/>
    <w:rsid w:val="02DC3AE8"/>
    <w:rsid w:val="02DE613E"/>
    <w:rsid w:val="03736458"/>
    <w:rsid w:val="0395774F"/>
    <w:rsid w:val="03F55365"/>
    <w:rsid w:val="0428373F"/>
    <w:rsid w:val="043378B3"/>
    <w:rsid w:val="04451501"/>
    <w:rsid w:val="044D0EC3"/>
    <w:rsid w:val="04710342"/>
    <w:rsid w:val="04D30981"/>
    <w:rsid w:val="04E3175F"/>
    <w:rsid w:val="04FF6FC1"/>
    <w:rsid w:val="054D01EC"/>
    <w:rsid w:val="058C2485"/>
    <w:rsid w:val="059335A6"/>
    <w:rsid w:val="05C6083C"/>
    <w:rsid w:val="05E53813"/>
    <w:rsid w:val="064728F5"/>
    <w:rsid w:val="067C0D23"/>
    <w:rsid w:val="07154D9E"/>
    <w:rsid w:val="072B3A23"/>
    <w:rsid w:val="072E0973"/>
    <w:rsid w:val="075A6F93"/>
    <w:rsid w:val="07C56F6E"/>
    <w:rsid w:val="081C65D2"/>
    <w:rsid w:val="083E5AD9"/>
    <w:rsid w:val="08E45767"/>
    <w:rsid w:val="08F000E6"/>
    <w:rsid w:val="09F302C7"/>
    <w:rsid w:val="0A0F1A1A"/>
    <w:rsid w:val="0A676A1A"/>
    <w:rsid w:val="0A7B2035"/>
    <w:rsid w:val="0A8031D6"/>
    <w:rsid w:val="0AC17734"/>
    <w:rsid w:val="0AD351E3"/>
    <w:rsid w:val="0B230FC3"/>
    <w:rsid w:val="0B4B14A0"/>
    <w:rsid w:val="0B5248F5"/>
    <w:rsid w:val="0B584D8A"/>
    <w:rsid w:val="0B753B95"/>
    <w:rsid w:val="0C4D1865"/>
    <w:rsid w:val="0C5626F1"/>
    <w:rsid w:val="0C602725"/>
    <w:rsid w:val="0C710141"/>
    <w:rsid w:val="0C731592"/>
    <w:rsid w:val="0C7A2E0D"/>
    <w:rsid w:val="0C8F183A"/>
    <w:rsid w:val="0D9027BE"/>
    <w:rsid w:val="0D9808D1"/>
    <w:rsid w:val="0DC83B14"/>
    <w:rsid w:val="0DD70D5E"/>
    <w:rsid w:val="0E485DC0"/>
    <w:rsid w:val="0F737119"/>
    <w:rsid w:val="0F9F5A71"/>
    <w:rsid w:val="10065960"/>
    <w:rsid w:val="107E6CBE"/>
    <w:rsid w:val="10A36140"/>
    <w:rsid w:val="1119210A"/>
    <w:rsid w:val="111E5342"/>
    <w:rsid w:val="11652E34"/>
    <w:rsid w:val="11747468"/>
    <w:rsid w:val="11BB19D7"/>
    <w:rsid w:val="11D8602A"/>
    <w:rsid w:val="11EE75E0"/>
    <w:rsid w:val="125F2F0D"/>
    <w:rsid w:val="12724103"/>
    <w:rsid w:val="129433AD"/>
    <w:rsid w:val="12F70ECE"/>
    <w:rsid w:val="12F96011"/>
    <w:rsid w:val="12FE04DA"/>
    <w:rsid w:val="13BD211A"/>
    <w:rsid w:val="14105917"/>
    <w:rsid w:val="14A938E4"/>
    <w:rsid w:val="15422070"/>
    <w:rsid w:val="16255A6E"/>
    <w:rsid w:val="168C438F"/>
    <w:rsid w:val="16C40906"/>
    <w:rsid w:val="16F62E49"/>
    <w:rsid w:val="17140604"/>
    <w:rsid w:val="171D6080"/>
    <w:rsid w:val="17403A74"/>
    <w:rsid w:val="174165C2"/>
    <w:rsid w:val="175E38AA"/>
    <w:rsid w:val="1813134E"/>
    <w:rsid w:val="182D55AF"/>
    <w:rsid w:val="183D21BF"/>
    <w:rsid w:val="19381DD9"/>
    <w:rsid w:val="19480205"/>
    <w:rsid w:val="19630A94"/>
    <w:rsid w:val="19CA34CE"/>
    <w:rsid w:val="1A620389"/>
    <w:rsid w:val="1B572E48"/>
    <w:rsid w:val="1B876397"/>
    <w:rsid w:val="1BD90D8C"/>
    <w:rsid w:val="1BE02172"/>
    <w:rsid w:val="1C2A3D2C"/>
    <w:rsid w:val="1C7470F0"/>
    <w:rsid w:val="1C790EDC"/>
    <w:rsid w:val="1CA2308A"/>
    <w:rsid w:val="1CDA009A"/>
    <w:rsid w:val="1D031806"/>
    <w:rsid w:val="1D6405E5"/>
    <w:rsid w:val="1DDA3F70"/>
    <w:rsid w:val="1DEF0415"/>
    <w:rsid w:val="1E08269E"/>
    <w:rsid w:val="1E1B7066"/>
    <w:rsid w:val="1E5726CC"/>
    <w:rsid w:val="1E8F2A0D"/>
    <w:rsid w:val="1EC078A0"/>
    <w:rsid w:val="1F89198A"/>
    <w:rsid w:val="20574BC7"/>
    <w:rsid w:val="20E87137"/>
    <w:rsid w:val="21864C61"/>
    <w:rsid w:val="21A73069"/>
    <w:rsid w:val="21C44D2A"/>
    <w:rsid w:val="21F641DF"/>
    <w:rsid w:val="22087B85"/>
    <w:rsid w:val="22281CBA"/>
    <w:rsid w:val="22A57D6F"/>
    <w:rsid w:val="23391F84"/>
    <w:rsid w:val="23573CC7"/>
    <w:rsid w:val="239540D5"/>
    <w:rsid w:val="239E6B50"/>
    <w:rsid w:val="23BC1248"/>
    <w:rsid w:val="23FF3869"/>
    <w:rsid w:val="24195551"/>
    <w:rsid w:val="2583353E"/>
    <w:rsid w:val="25C864C9"/>
    <w:rsid w:val="26650466"/>
    <w:rsid w:val="26C96CF2"/>
    <w:rsid w:val="26FD13BE"/>
    <w:rsid w:val="276818F4"/>
    <w:rsid w:val="27694910"/>
    <w:rsid w:val="27776EF2"/>
    <w:rsid w:val="27785926"/>
    <w:rsid w:val="27E37F3E"/>
    <w:rsid w:val="285C0216"/>
    <w:rsid w:val="287018AD"/>
    <w:rsid w:val="28982EA4"/>
    <w:rsid w:val="29292E50"/>
    <w:rsid w:val="299D06C2"/>
    <w:rsid w:val="29DD2163"/>
    <w:rsid w:val="29F47CBA"/>
    <w:rsid w:val="2AC0785E"/>
    <w:rsid w:val="2B5C5FFB"/>
    <w:rsid w:val="2B666B2E"/>
    <w:rsid w:val="2C071DA2"/>
    <w:rsid w:val="2D090A2F"/>
    <w:rsid w:val="2D4A0D7E"/>
    <w:rsid w:val="2E055B8C"/>
    <w:rsid w:val="2E52141F"/>
    <w:rsid w:val="2E957D35"/>
    <w:rsid w:val="2F0F3D3D"/>
    <w:rsid w:val="2FA812BB"/>
    <w:rsid w:val="301231BC"/>
    <w:rsid w:val="30146EFF"/>
    <w:rsid w:val="30282A0B"/>
    <w:rsid w:val="3053508B"/>
    <w:rsid w:val="307B55FA"/>
    <w:rsid w:val="308E17F7"/>
    <w:rsid w:val="30A503BE"/>
    <w:rsid w:val="30D73DBB"/>
    <w:rsid w:val="31166FB7"/>
    <w:rsid w:val="31913C22"/>
    <w:rsid w:val="31A2264A"/>
    <w:rsid w:val="31AA4A67"/>
    <w:rsid w:val="31AC0383"/>
    <w:rsid w:val="329D396A"/>
    <w:rsid w:val="32A35C5E"/>
    <w:rsid w:val="33752D4B"/>
    <w:rsid w:val="33A62A16"/>
    <w:rsid w:val="34502223"/>
    <w:rsid w:val="34825247"/>
    <w:rsid w:val="35797056"/>
    <w:rsid w:val="35AE7198"/>
    <w:rsid w:val="360D4C07"/>
    <w:rsid w:val="36DC1AA9"/>
    <w:rsid w:val="3736528B"/>
    <w:rsid w:val="37AE1DFB"/>
    <w:rsid w:val="382D3199"/>
    <w:rsid w:val="38541751"/>
    <w:rsid w:val="386C7CA9"/>
    <w:rsid w:val="39291BD3"/>
    <w:rsid w:val="3943749E"/>
    <w:rsid w:val="39B5094C"/>
    <w:rsid w:val="3A0F3C4B"/>
    <w:rsid w:val="3A8C64F8"/>
    <w:rsid w:val="3AB83BCB"/>
    <w:rsid w:val="3AE64191"/>
    <w:rsid w:val="3B047EEE"/>
    <w:rsid w:val="3B43011A"/>
    <w:rsid w:val="3B630A16"/>
    <w:rsid w:val="3BA65AA0"/>
    <w:rsid w:val="3BE63D5E"/>
    <w:rsid w:val="3C2C32B4"/>
    <w:rsid w:val="3C385633"/>
    <w:rsid w:val="3C840546"/>
    <w:rsid w:val="3CB32586"/>
    <w:rsid w:val="3CC32B80"/>
    <w:rsid w:val="3D987FB5"/>
    <w:rsid w:val="3DA139FF"/>
    <w:rsid w:val="3DA23C7A"/>
    <w:rsid w:val="3E0B7723"/>
    <w:rsid w:val="3E7918FE"/>
    <w:rsid w:val="3E817CCA"/>
    <w:rsid w:val="3EF3162C"/>
    <w:rsid w:val="3F4679AA"/>
    <w:rsid w:val="3FE25FDC"/>
    <w:rsid w:val="4039639E"/>
    <w:rsid w:val="40506193"/>
    <w:rsid w:val="40E006D2"/>
    <w:rsid w:val="41003393"/>
    <w:rsid w:val="41471571"/>
    <w:rsid w:val="415C5153"/>
    <w:rsid w:val="41F13E95"/>
    <w:rsid w:val="42205F8A"/>
    <w:rsid w:val="424F741C"/>
    <w:rsid w:val="42837843"/>
    <w:rsid w:val="43154083"/>
    <w:rsid w:val="43266888"/>
    <w:rsid w:val="433B5801"/>
    <w:rsid w:val="437B1003"/>
    <w:rsid w:val="438B2277"/>
    <w:rsid w:val="438D1A62"/>
    <w:rsid w:val="43B20697"/>
    <w:rsid w:val="43E57341"/>
    <w:rsid w:val="43E76E94"/>
    <w:rsid w:val="43F85FD2"/>
    <w:rsid w:val="445C7DC9"/>
    <w:rsid w:val="44A03B88"/>
    <w:rsid w:val="44EF30C6"/>
    <w:rsid w:val="45710D8C"/>
    <w:rsid w:val="45D72ED4"/>
    <w:rsid w:val="45EB15C4"/>
    <w:rsid w:val="46124BD2"/>
    <w:rsid w:val="466769EA"/>
    <w:rsid w:val="46941A48"/>
    <w:rsid w:val="46F418A4"/>
    <w:rsid w:val="4738627F"/>
    <w:rsid w:val="47430C9F"/>
    <w:rsid w:val="47643A5D"/>
    <w:rsid w:val="4797667C"/>
    <w:rsid w:val="47DD72CB"/>
    <w:rsid w:val="48110BBD"/>
    <w:rsid w:val="48883207"/>
    <w:rsid w:val="48B4483A"/>
    <w:rsid w:val="48BC4769"/>
    <w:rsid w:val="49201A63"/>
    <w:rsid w:val="49350827"/>
    <w:rsid w:val="495B722A"/>
    <w:rsid w:val="49F111A8"/>
    <w:rsid w:val="4A003871"/>
    <w:rsid w:val="4A0B2DC5"/>
    <w:rsid w:val="4A5F20D4"/>
    <w:rsid w:val="4A8A493C"/>
    <w:rsid w:val="4B007041"/>
    <w:rsid w:val="4B1C39CA"/>
    <w:rsid w:val="4B1C508E"/>
    <w:rsid w:val="4B6A066F"/>
    <w:rsid w:val="4B9519E5"/>
    <w:rsid w:val="4CB73E41"/>
    <w:rsid w:val="4CD167BA"/>
    <w:rsid w:val="4D705D45"/>
    <w:rsid w:val="4DB81E5D"/>
    <w:rsid w:val="4E7144EF"/>
    <w:rsid w:val="4F2B2B6B"/>
    <w:rsid w:val="4F460358"/>
    <w:rsid w:val="4F555E0B"/>
    <w:rsid w:val="4F704E52"/>
    <w:rsid w:val="4F913AEA"/>
    <w:rsid w:val="4FD0129A"/>
    <w:rsid w:val="4FFA3F29"/>
    <w:rsid w:val="50154BE2"/>
    <w:rsid w:val="501D29AD"/>
    <w:rsid w:val="508110D9"/>
    <w:rsid w:val="517D4594"/>
    <w:rsid w:val="51EB3D3B"/>
    <w:rsid w:val="52435B91"/>
    <w:rsid w:val="52813656"/>
    <w:rsid w:val="529A6D8D"/>
    <w:rsid w:val="551E697D"/>
    <w:rsid w:val="553C13D2"/>
    <w:rsid w:val="55433C94"/>
    <w:rsid w:val="562C6AC9"/>
    <w:rsid w:val="5652599D"/>
    <w:rsid w:val="56C84298"/>
    <w:rsid w:val="56F0018F"/>
    <w:rsid w:val="577B201A"/>
    <w:rsid w:val="579A1D0A"/>
    <w:rsid w:val="57A20D21"/>
    <w:rsid w:val="57C265D5"/>
    <w:rsid w:val="5814537E"/>
    <w:rsid w:val="583537BD"/>
    <w:rsid w:val="58C44CEF"/>
    <w:rsid w:val="58D31B10"/>
    <w:rsid w:val="59F54EDD"/>
    <w:rsid w:val="5A7D071B"/>
    <w:rsid w:val="5A7D7234"/>
    <w:rsid w:val="5B0A3755"/>
    <w:rsid w:val="5B2B455F"/>
    <w:rsid w:val="5B667BF5"/>
    <w:rsid w:val="5B9412E3"/>
    <w:rsid w:val="5BBD19C7"/>
    <w:rsid w:val="5C632E86"/>
    <w:rsid w:val="5C896AB2"/>
    <w:rsid w:val="5D420C9C"/>
    <w:rsid w:val="5D43126D"/>
    <w:rsid w:val="5DC14D19"/>
    <w:rsid w:val="5E633D67"/>
    <w:rsid w:val="5EB62632"/>
    <w:rsid w:val="5EDE099D"/>
    <w:rsid w:val="5F264F1C"/>
    <w:rsid w:val="5FE06138"/>
    <w:rsid w:val="5FE065C8"/>
    <w:rsid w:val="5FF73AA2"/>
    <w:rsid w:val="601A4CE9"/>
    <w:rsid w:val="602B69B9"/>
    <w:rsid w:val="60621CE1"/>
    <w:rsid w:val="60AE7E03"/>
    <w:rsid w:val="60C30671"/>
    <w:rsid w:val="60D27DD4"/>
    <w:rsid w:val="610928F7"/>
    <w:rsid w:val="61EA16F0"/>
    <w:rsid w:val="624E6988"/>
    <w:rsid w:val="62565081"/>
    <w:rsid w:val="635C2946"/>
    <w:rsid w:val="6408787B"/>
    <w:rsid w:val="640B3830"/>
    <w:rsid w:val="642011A0"/>
    <w:rsid w:val="6438306E"/>
    <w:rsid w:val="647465E9"/>
    <w:rsid w:val="64756BFF"/>
    <w:rsid w:val="648B6172"/>
    <w:rsid w:val="64986790"/>
    <w:rsid w:val="649D5468"/>
    <w:rsid w:val="64BD33B0"/>
    <w:rsid w:val="656B4EEF"/>
    <w:rsid w:val="666857E3"/>
    <w:rsid w:val="666D7DBE"/>
    <w:rsid w:val="66CC41CC"/>
    <w:rsid w:val="66FF16CC"/>
    <w:rsid w:val="67212262"/>
    <w:rsid w:val="676619F6"/>
    <w:rsid w:val="679A4006"/>
    <w:rsid w:val="67D96120"/>
    <w:rsid w:val="68AA04F9"/>
    <w:rsid w:val="698267F2"/>
    <w:rsid w:val="69D760C8"/>
    <w:rsid w:val="6A06389C"/>
    <w:rsid w:val="6A343378"/>
    <w:rsid w:val="6A38658E"/>
    <w:rsid w:val="6A7B5EB7"/>
    <w:rsid w:val="6ABC36A2"/>
    <w:rsid w:val="6ADD2DA2"/>
    <w:rsid w:val="6B3C5128"/>
    <w:rsid w:val="6BDA3C3B"/>
    <w:rsid w:val="6BDB0005"/>
    <w:rsid w:val="6C5F19FD"/>
    <w:rsid w:val="6D0D49E5"/>
    <w:rsid w:val="6E2B1E50"/>
    <w:rsid w:val="6E9245B5"/>
    <w:rsid w:val="6ED40B56"/>
    <w:rsid w:val="6F1E4FA1"/>
    <w:rsid w:val="6F260BDD"/>
    <w:rsid w:val="6F9112A3"/>
    <w:rsid w:val="6F9C300C"/>
    <w:rsid w:val="6FFB0203"/>
    <w:rsid w:val="70363365"/>
    <w:rsid w:val="707A7275"/>
    <w:rsid w:val="70D738AF"/>
    <w:rsid w:val="7118105A"/>
    <w:rsid w:val="71AC2719"/>
    <w:rsid w:val="72573252"/>
    <w:rsid w:val="72F337E1"/>
    <w:rsid w:val="73381800"/>
    <w:rsid w:val="745916D2"/>
    <w:rsid w:val="75480FFF"/>
    <w:rsid w:val="758B3224"/>
    <w:rsid w:val="75AF00A6"/>
    <w:rsid w:val="75D30780"/>
    <w:rsid w:val="76490A8D"/>
    <w:rsid w:val="767C41A7"/>
    <w:rsid w:val="772849EC"/>
    <w:rsid w:val="77E675C2"/>
    <w:rsid w:val="780F3D04"/>
    <w:rsid w:val="78114F98"/>
    <w:rsid w:val="781344A2"/>
    <w:rsid w:val="784342FF"/>
    <w:rsid w:val="788B16A1"/>
    <w:rsid w:val="799B679D"/>
    <w:rsid w:val="79A06565"/>
    <w:rsid w:val="79B57543"/>
    <w:rsid w:val="79BE4163"/>
    <w:rsid w:val="7A3C35CF"/>
    <w:rsid w:val="7A712023"/>
    <w:rsid w:val="7A947ABE"/>
    <w:rsid w:val="7B4A21B3"/>
    <w:rsid w:val="7B9B224E"/>
    <w:rsid w:val="7C3E0F64"/>
    <w:rsid w:val="7C4C3ADF"/>
    <w:rsid w:val="7CE46580"/>
    <w:rsid w:val="7D4121B4"/>
    <w:rsid w:val="7E0013CC"/>
    <w:rsid w:val="7E2566D9"/>
    <w:rsid w:val="7E8C384A"/>
    <w:rsid w:val="7EDD7661"/>
    <w:rsid w:val="7F6162DC"/>
    <w:rsid w:val="7FF0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1"/>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Body Text"/>
    <w:basedOn w:val="1"/>
    <w:link w:val="50"/>
    <w:qFormat/>
    <w:uiPriority w:val="0"/>
    <w:pPr>
      <w:spacing w:after="120"/>
    </w:pPr>
    <w:rPr>
      <w:rFonts w:ascii="@微软简标宋" w:hAnsi="@微软简标宋" w:eastAsia="@微软简标宋" w:cs="@微软简标宋"/>
      <w:szCs w:val="24"/>
      <w:lang w:val="zh-CN"/>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Indent"/>
    <w:basedOn w:val="1"/>
    <w:next w:val="10"/>
    <w:link w:val="47"/>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宋体" w:cs="Times New Roman"/>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51"/>
    <w:qFormat/>
    <w:uiPriority w:val="99"/>
    <w:rPr>
      <w:rFonts w:ascii="宋体" w:hAnsi="Courier New" w:eastAsiaTheme="minorEastAsia" w:cstheme="minorBidi"/>
      <w:szCs w:val="22"/>
    </w:rPr>
  </w:style>
  <w:style w:type="paragraph" w:styleId="13">
    <w:name w:val="Date"/>
    <w:basedOn w:val="1"/>
    <w:next w:val="1"/>
    <w:link w:val="63"/>
    <w:qFormat/>
    <w:uiPriority w:val="0"/>
    <w:rPr>
      <w:rFonts w:ascii="Arial" w:hAnsi="Arial" w:eastAsia="宋体" w:cs="Arial"/>
      <w:b/>
      <w:sz w:val="28"/>
    </w:rPr>
  </w:style>
  <w:style w:type="paragraph" w:styleId="14">
    <w:name w:val="Balloon Text"/>
    <w:basedOn w:val="1"/>
    <w:link w:val="53"/>
    <w:semiHidden/>
    <w:unhideWhenUsed/>
    <w:qFormat/>
    <w:uiPriority w:val="99"/>
    <w:rPr>
      <w:sz w:val="18"/>
      <w:szCs w:val="18"/>
    </w:rPr>
  </w:style>
  <w:style w:type="paragraph" w:styleId="15">
    <w:name w:val="footer"/>
    <w:basedOn w:val="1"/>
    <w:link w:val="4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footnote text"/>
    <w:basedOn w:val="1"/>
    <w:unhideWhenUsed/>
    <w:qFormat/>
    <w:uiPriority w:val="0"/>
    <w:pPr>
      <w:snapToGrid w:val="0"/>
      <w:jc w:val="left"/>
    </w:pPr>
    <w:rPr>
      <w:rFonts w:ascii="Times New Roman" w:hAnsi="Times New Roman" w:eastAsia="宋体" w:cs="Times New Roman"/>
      <w:sz w:val="18"/>
      <w:szCs w:val="18"/>
      <w:lang w:val="zh-CN"/>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Title"/>
    <w:basedOn w:val="1"/>
    <w:qFormat/>
    <w:uiPriority w:val="10"/>
    <w:pPr>
      <w:spacing w:before="240" w:after="60"/>
      <w:jc w:val="center"/>
      <w:outlineLvl w:val="0"/>
    </w:pPr>
    <w:rPr>
      <w:rFonts w:ascii="Arial" w:hAnsi="Arial"/>
      <w:b/>
      <w:sz w:val="32"/>
    </w:rPr>
  </w:style>
  <w:style w:type="paragraph" w:styleId="23">
    <w:name w:val="annotation subject"/>
    <w:basedOn w:val="8"/>
    <w:next w:val="8"/>
    <w:link w:val="54"/>
    <w:semiHidden/>
    <w:unhideWhenUsed/>
    <w:qFormat/>
    <w:uiPriority w:val="99"/>
    <w:rPr>
      <w:rFonts w:ascii="@仿宋_GB2312" w:hAnsi="@仿宋_GB2312" w:eastAsia="@仿宋_GB2312" w:cs="@仿宋_GB2312"/>
      <w:b/>
      <w:bCs/>
    </w:rPr>
  </w:style>
  <w:style w:type="paragraph" w:styleId="24">
    <w:name w:val="Body Text First Indent 2"/>
    <w:basedOn w:val="9"/>
    <w:link w:val="48"/>
    <w:unhideWhenUsed/>
    <w:qFormat/>
    <w:uiPriority w:val="0"/>
    <w:pPr>
      <w:ind w:firstLine="420" w:firstLineChars="200"/>
    </w:pPr>
  </w:style>
  <w:style w:type="table" w:styleId="26">
    <w:name w:val="Table Grid"/>
    <w:basedOn w:val="25"/>
    <w:unhideWhenUsed/>
    <w:qFormat/>
    <w:uiPriority w:val="59"/>
    <w:rPr>
      <w:rFonts w:ascii="@微软简标宋" w:hAnsi="@微软简标宋" w:eastAsia="@微软简标宋" w:cs="@微软简标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563C1"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footnote reference"/>
    <w:unhideWhenUsed/>
    <w:qFormat/>
    <w:uiPriority w:val="0"/>
    <w:rPr>
      <w:vertAlign w:val="superscript"/>
    </w:rPr>
  </w:style>
  <w:style w:type="character" w:styleId="40">
    <w:name w:val="HTML Keyboard"/>
    <w:basedOn w:val="27"/>
    <w:semiHidden/>
    <w:unhideWhenUsed/>
    <w:qFormat/>
    <w:uiPriority w:val="99"/>
    <w:rPr>
      <w:rFonts w:hint="default" w:ascii="monospace" w:hAnsi="monospace" w:eastAsia="monospace" w:cs="monospace"/>
      <w:sz w:val="20"/>
    </w:rPr>
  </w:style>
  <w:style w:type="character" w:styleId="41">
    <w:name w:val="HTML Sample"/>
    <w:basedOn w:val="27"/>
    <w:semiHidden/>
    <w:unhideWhenUsed/>
    <w:qFormat/>
    <w:uiPriority w:val="99"/>
    <w:rPr>
      <w:rFonts w:ascii="monospace" w:hAnsi="monospace" w:eastAsia="monospace" w:cs="monospace"/>
    </w:rPr>
  </w:style>
  <w:style w:type="character" w:customStyle="1" w:styleId="42">
    <w:name w:val="页眉 Char"/>
    <w:basedOn w:val="27"/>
    <w:link w:val="16"/>
    <w:qFormat/>
    <w:uiPriority w:val="0"/>
    <w:rPr>
      <w:sz w:val="18"/>
      <w:szCs w:val="18"/>
    </w:rPr>
  </w:style>
  <w:style w:type="character" w:customStyle="1" w:styleId="43">
    <w:name w:val="页脚 Char"/>
    <w:basedOn w:val="27"/>
    <w:link w:val="15"/>
    <w:qFormat/>
    <w:uiPriority w:val="99"/>
    <w:rPr>
      <w:sz w:val="18"/>
      <w:szCs w:val="18"/>
    </w:rPr>
  </w:style>
  <w:style w:type="character" w:customStyle="1" w:styleId="44">
    <w:name w:val="标题 1 Char"/>
    <w:basedOn w:val="27"/>
    <w:link w:val="3"/>
    <w:qFormat/>
    <w:uiPriority w:val="9"/>
    <w:rPr>
      <w:rFonts w:ascii="@仿宋_GB2312" w:hAnsi="@仿宋_GB2312" w:eastAsia="@仿宋_GB2312" w:cs="@仿宋_GB2312"/>
      <w:b/>
      <w:bCs/>
      <w:kern w:val="44"/>
      <w:sz w:val="44"/>
      <w:szCs w:val="44"/>
    </w:rPr>
  </w:style>
  <w:style w:type="character" w:customStyle="1" w:styleId="45">
    <w:name w:val="标题 3 Char"/>
    <w:basedOn w:val="27"/>
    <w:link w:val="5"/>
    <w:semiHidden/>
    <w:qFormat/>
    <w:uiPriority w:val="9"/>
    <w:rPr>
      <w:rFonts w:ascii="@仿宋_GB2312" w:hAnsi="@仿宋_GB2312" w:eastAsia="@仿宋_GB2312" w:cs="@仿宋_GB2312"/>
      <w:b/>
      <w:bCs/>
      <w:sz w:val="32"/>
      <w:szCs w:val="32"/>
    </w:rPr>
  </w:style>
  <w:style w:type="character" w:customStyle="1" w:styleId="46">
    <w:name w:val="标题 4 字符"/>
    <w:basedOn w:val="27"/>
    <w:semiHidden/>
    <w:qFormat/>
    <w:uiPriority w:val="9"/>
    <w:rPr>
      <w:rFonts w:asciiTheme="majorHAnsi" w:hAnsiTheme="majorHAnsi" w:eastAsiaTheme="majorEastAsia" w:cstheme="majorBidi"/>
      <w:b/>
      <w:bCs/>
      <w:sz w:val="28"/>
      <w:szCs w:val="28"/>
    </w:rPr>
  </w:style>
  <w:style w:type="character" w:customStyle="1" w:styleId="47">
    <w:name w:val="正文文本缩进 Char"/>
    <w:basedOn w:val="27"/>
    <w:link w:val="9"/>
    <w:qFormat/>
    <w:uiPriority w:val="0"/>
    <w:rPr>
      <w:rFonts w:ascii="@仿宋_GB2312" w:hAnsi="@仿宋_GB2312" w:eastAsia="@仿宋_GB2312" w:cs="@仿宋_GB2312"/>
      <w:szCs w:val="20"/>
    </w:rPr>
  </w:style>
  <w:style w:type="character" w:customStyle="1" w:styleId="48">
    <w:name w:val="正文首行缩进 2 Char"/>
    <w:basedOn w:val="47"/>
    <w:link w:val="24"/>
    <w:qFormat/>
    <w:uiPriority w:val="0"/>
    <w:rPr>
      <w:rFonts w:ascii="@仿宋_GB2312" w:hAnsi="@仿宋_GB2312" w:eastAsia="@仿宋_GB2312" w:cs="@仿宋_GB2312"/>
      <w:szCs w:val="20"/>
    </w:rPr>
  </w:style>
  <w:style w:type="character" w:customStyle="1" w:styleId="49">
    <w:name w:val="批注文字 Char1"/>
    <w:basedOn w:val="27"/>
    <w:link w:val="8"/>
    <w:qFormat/>
    <w:uiPriority w:val="0"/>
    <w:rPr>
      <w:rFonts w:ascii="Arial" w:hAnsi="Arial" w:eastAsia="黑体" w:cs="Arial"/>
      <w:szCs w:val="20"/>
    </w:rPr>
  </w:style>
  <w:style w:type="character" w:customStyle="1" w:styleId="50">
    <w:name w:val="正文文本 Char"/>
    <w:basedOn w:val="27"/>
    <w:link w:val="2"/>
    <w:qFormat/>
    <w:uiPriority w:val="0"/>
    <w:rPr>
      <w:rFonts w:ascii="@微软简标宋" w:hAnsi="@微软简标宋" w:eastAsia="@微软简标宋" w:cs="@微软简标宋"/>
      <w:szCs w:val="24"/>
      <w:lang w:val="zh-CN"/>
    </w:rPr>
  </w:style>
  <w:style w:type="character" w:customStyle="1" w:styleId="51">
    <w:name w:val="纯文本 Char"/>
    <w:basedOn w:val="27"/>
    <w:link w:val="12"/>
    <w:qFormat/>
    <w:uiPriority w:val="99"/>
    <w:rPr>
      <w:rFonts w:ascii="宋体" w:hAnsi="Courier New"/>
    </w:rPr>
  </w:style>
  <w:style w:type="character" w:customStyle="1" w:styleId="52">
    <w:name w:val="日期 字符"/>
    <w:basedOn w:val="27"/>
    <w:semiHidden/>
    <w:qFormat/>
    <w:uiPriority w:val="99"/>
    <w:rPr>
      <w:rFonts w:ascii="@仿宋_GB2312" w:hAnsi="@仿宋_GB2312" w:eastAsia="@仿宋_GB2312" w:cs="@仿宋_GB2312"/>
      <w:szCs w:val="20"/>
    </w:rPr>
  </w:style>
  <w:style w:type="character" w:customStyle="1" w:styleId="53">
    <w:name w:val="批注框文本 Char"/>
    <w:basedOn w:val="27"/>
    <w:link w:val="14"/>
    <w:semiHidden/>
    <w:qFormat/>
    <w:uiPriority w:val="99"/>
    <w:rPr>
      <w:rFonts w:ascii="@仿宋_GB2312" w:hAnsi="@仿宋_GB2312" w:eastAsia="@仿宋_GB2312" w:cs="@仿宋_GB2312"/>
      <w:sz w:val="18"/>
      <w:szCs w:val="18"/>
    </w:rPr>
  </w:style>
  <w:style w:type="character" w:customStyle="1" w:styleId="54">
    <w:name w:val="批注主题 Char"/>
    <w:basedOn w:val="49"/>
    <w:link w:val="23"/>
    <w:semiHidden/>
    <w:qFormat/>
    <w:uiPriority w:val="99"/>
    <w:rPr>
      <w:rFonts w:ascii="@仿宋_GB2312" w:hAnsi="@仿宋_GB2312" w:eastAsia="@仿宋_GB2312" w:cs="@仿宋_GB2312"/>
      <w:b/>
      <w:bCs/>
      <w:szCs w:val="20"/>
    </w:rPr>
  </w:style>
  <w:style w:type="paragraph" w:customStyle="1" w:styleId="55">
    <w:name w:val="正文（缩进）"/>
    <w:basedOn w:val="1"/>
    <w:qFormat/>
    <w:uiPriority w:val="0"/>
    <w:pPr>
      <w:widowControl/>
      <w:spacing w:before="156" w:after="156"/>
      <w:ind w:firstLine="480" w:firstLineChars="200"/>
      <w:jc w:val="left"/>
    </w:pPr>
    <w:rPr>
      <w:kern w:val="0"/>
      <w:sz w:val="24"/>
      <w:szCs w:val="24"/>
    </w:rPr>
  </w:style>
  <w:style w:type="paragraph" w:customStyle="1" w:styleId="56">
    <w:name w:val="xl31"/>
    <w:basedOn w:val="1"/>
    <w:qFormat/>
    <w:uiPriority w:val="0"/>
    <w:pPr>
      <w:widowControl/>
      <w:spacing w:before="100" w:beforeAutospacing="1" w:after="100" w:afterAutospacing="1"/>
      <w:jc w:val="center"/>
    </w:pPr>
    <w:rPr>
      <w:b/>
      <w:bCs/>
      <w:kern w:val="0"/>
      <w:sz w:val="28"/>
      <w:szCs w:val="28"/>
    </w:rPr>
  </w:style>
  <w:style w:type="paragraph" w:customStyle="1" w:styleId="57">
    <w:name w:val="D&amp;L"/>
    <w:basedOn w:val="16"/>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character" w:customStyle="1" w:styleId="58">
    <w:name w:val="纯文本 字符1"/>
    <w:basedOn w:val="27"/>
    <w:semiHidden/>
    <w:qFormat/>
    <w:uiPriority w:val="99"/>
    <w:rPr>
      <w:rFonts w:hAnsi="Courier New" w:cs="Courier New" w:asciiTheme="minorEastAsia"/>
      <w:szCs w:val="20"/>
    </w:rPr>
  </w:style>
  <w:style w:type="character" w:customStyle="1" w:styleId="59">
    <w:name w:val="未处理的提及1"/>
    <w:basedOn w:val="27"/>
    <w:semiHidden/>
    <w:unhideWhenUsed/>
    <w:qFormat/>
    <w:uiPriority w:val="99"/>
    <w:rPr>
      <w:color w:val="605E5C"/>
      <w:shd w:val="clear" w:color="auto" w:fill="E1DFDD"/>
    </w:rPr>
  </w:style>
  <w:style w:type="paragraph" w:styleId="60">
    <w:name w:val="List Paragraph"/>
    <w:basedOn w:val="1"/>
    <w:qFormat/>
    <w:uiPriority w:val="34"/>
    <w:pPr>
      <w:ind w:firstLine="420" w:firstLineChars="200"/>
    </w:pPr>
  </w:style>
  <w:style w:type="paragraph" w:customStyle="1" w:styleId="61">
    <w:name w:val="Char Char Char Char Char Char Char1 Char"/>
    <w:basedOn w:val="1"/>
    <w:qFormat/>
    <w:uiPriority w:val="0"/>
    <w:rPr>
      <w:rFonts w:ascii="Arial" w:hAnsi="Arial" w:eastAsia="宋体" w:cs="Arial"/>
      <w:sz w:val="24"/>
    </w:rPr>
  </w:style>
  <w:style w:type="table" w:customStyle="1" w:styleId="62">
    <w:name w:val="网格表 1 浅色1"/>
    <w:basedOn w:val="25"/>
    <w:qFormat/>
    <w:uiPriority w:val="46"/>
    <w:rPr>
      <w:rFonts w:ascii="@微软简标宋" w:hAnsi="@微软简标宋" w:eastAsia="@微软简标宋" w:cs="@微软简标宋"/>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3">
    <w:name w:val="日期 Char"/>
    <w:link w:val="13"/>
    <w:qFormat/>
    <w:uiPriority w:val="0"/>
    <w:rPr>
      <w:rFonts w:ascii="Arial" w:hAnsi="Arial" w:eastAsia="宋体" w:cs="Arial"/>
      <w:b/>
      <w:sz w:val="28"/>
      <w:szCs w:val="20"/>
    </w:rPr>
  </w:style>
  <w:style w:type="character" w:customStyle="1" w:styleId="64">
    <w:name w:val="纯文本 Char1"/>
    <w:link w:val="65"/>
    <w:qFormat/>
    <w:locked/>
    <w:uiPriority w:val="0"/>
    <w:rPr>
      <w:rFonts w:ascii="Arial" w:hAnsi="Arial" w:eastAsia="Arial"/>
    </w:rPr>
  </w:style>
  <w:style w:type="paragraph" w:customStyle="1" w:styleId="65">
    <w:name w:val="纯文本1"/>
    <w:basedOn w:val="1"/>
    <w:link w:val="64"/>
    <w:qFormat/>
    <w:uiPriority w:val="0"/>
    <w:rPr>
      <w:rFonts w:ascii="Arial" w:hAnsi="Arial" w:eastAsia="Arial" w:cstheme="minorBidi"/>
      <w:szCs w:val="22"/>
    </w:rPr>
  </w:style>
  <w:style w:type="character" w:customStyle="1" w:styleId="66">
    <w:name w:val="批注文字 Char"/>
    <w:basedOn w:val="27"/>
    <w:semiHidden/>
    <w:qFormat/>
    <w:uiPriority w:val="99"/>
    <w:rPr>
      <w:rFonts w:ascii="@仿宋_GB2312" w:hAnsi="@仿宋_GB2312" w:eastAsia="@仿宋_GB2312" w:cs="@仿宋_GB2312"/>
      <w:szCs w:val="20"/>
    </w:rPr>
  </w:style>
  <w:style w:type="paragraph" w:customStyle="1" w:styleId="6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68">
    <w:name w:val="fontstyle01"/>
    <w:basedOn w:val="27"/>
    <w:qFormat/>
    <w:uiPriority w:val="0"/>
    <w:rPr>
      <w:rFonts w:hint="eastAsia" w:ascii="宋体" w:hAnsi="宋体" w:eastAsia="宋体"/>
      <w:color w:val="000000"/>
      <w:sz w:val="22"/>
      <w:szCs w:val="22"/>
    </w:rPr>
  </w:style>
  <w:style w:type="character" w:customStyle="1" w:styleId="69">
    <w:name w:val="fontstyle21"/>
    <w:basedOn w:val="27"/>
    <w:qFormat/>
    <w:uiPriority w:val="0"/>
    <w:rPr>
      <w:rFonts w:hint="default" w:ascii="TimesNewRomanPSMT" w:hAnsi="TimesNewRomanPSMT"/>
      <w:color w:val="000000"/>
      <w:sz w:val="22"/>
      <w:szCs w:val="22"/>
    </w:rPr>
  </w:style>
  <w:style w:type="character" w:customStyle="1" w:styleId="7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Char"/>
    <w:link w:val="6"/>
    <w:qFormat/>
    <w:uiPriority w:val="0"/>
    <w:rPr>
      <w:rFonts w:ascii="@仿宋_GB2312" w:hAnsi="@仿宋_GB2312" w:eastAsia="@仿宋_GB2312" w:cs="@仿宋_GB2312"/>
      <w:b/>
      <w:bCs/>
      <w:sz w:val="28"/>
      <w:szCs w:val="28"/>
    </w:rPr>
  </w:style>
  <w:style w:type="paragraph" w:customStyle="1" w:styleId="72">
    <w:name w:val="正文_0"/>
    <w:qFormat/>
    <w:uiPriority w:val="0"/>
    <w:pPr>
      <w:widowControl w:val="0"/>
      <w:jc w:val="both"/>
    </w:pPr>
    <w:rPr>
      <w:rFonts w:ascii="@微软简标宋" w:hAnsi="@微软简标宋" w:eastAsia="@微软简标宋" w:cs="@微软简标宋"/>
      <w:kern w:val="2"/>
      <w:sz w:val="21"/>
      <w:szCs w:val="22"/>
      <w:lang w:val="en-US" w:eastAsia="zh-CN" w:bidi="ar-SA"/>
    </w:rPr>
  </w:style>
  <w:style w:type="character" w:customStyle="1" w:styleId="73">
    <w:name w:val="cfdate"/>
    <w:basedOn w:val="27"/>
    <w:qFormat/>
    <w:uiPriority w:val="0"/>
    <w:rPr>
      <w:color w:val="333333"/>
      <w:sz w:val="12"/>
      <w:szCs w:val="12"/>
    </w:rPr>
  </w:style>
  <w:style w:type="character" w:customStyle="1" w:styleId="74">
    <w:name w:val="gjfg"/>
    <w:basedOn w:val="27"/>
    <w:qFormat/>
    <w:uiPriority w:val="0"/>
  </w:style>
  <w:style w:type="character" w:customStyle="1" w:styleId="75">
    <w:name w:val="displayarti"/>
    <w:basedOn w:val="27"/>
    <w:qFormat/>
    <w:uiPriority w:val="0"/>
    <w:rPr>
      <w:color w:val="FFFFFF"/>
      <w:shd w:val="clear" w:color="auto" w:fill="A00000"/>
    </w:rPr>
  </w:style>
  <w:style w:type="character" w:customStyle="1" w:styleId="76">
    <w:name w:val="redfilefwwh"/>
    <w:basedOn w:val="27"/>
    <w:qFormat/>
    <w:uiPriority w:val="0"/>
    <w:rPr>
      <w:color w:val="BA2636"/>
      <w:sz w:val="12"/>
      <w:szCs w:val="12"/>
    </w:rPr>
  </w:style>
  <w:style w:type="character" w:customStyle="1" w:styleId="77">
    <w:name w:val="redfilenumber"/>
    <w:basedOn w:val="27"/>
    <w:qFormat/>
    <w:uiPriority w:val="0"/>
    <w:rPr>
      <w:color w:val="BA2636"/>
      <w:sz w:val="12"/>
      <w:szCs w:val="12"/>
    </w:rPr>
  </w:style>
  <w:style w:type="character" w:customStyle="1" w:styleId="78">
    <w:name w:val="qxdate"/>
    <w:basedOn w:val="27"/>
    <w:qFormat/>
    <w:uiPriority w:val="0"/>
    <w:rPr>
      <w:color w:val="333333"/>
      <w:sz w:val="12"/>
      <w:szCs w:val="12"/>
    </w:rPr>
  </w:style>
  <w:style w:type="paragraph" w:customStyle="1" w:styleId="79">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5093</Words>
  <Characters>29033</Characters>
  <Lines>241</Lines>
  <Paragraphs>68</Paragraphs>
  <TotalTime>69</TotalTime>
  <ScaleCrop>false</ScaleCrop>
  <LinksUpToDate>false</LinksUpToDate>
  <CharactersWithSpaces>34058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2020-03-30T06:52:00Z</dcterms:created>
  <dc:creator>admin</dc:creator>
  <cp:lastModifiedBy>赵茜</cp:lastModifiedBy>
  <cp:lastPrinted>2020-11-24T06:19:00Z</cp:lastPrinted>
  <dcterms:modified xsi:type="dcterms:W3CDTF">2020-11-27T03:01:15Z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